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7D326" w14:textId="24C2158D" w:rsidR="00313C2C" w:rsidRPr="0088692C" w:rsidRDefault="00313C2C" w:rsidP="0088692C">
      <w:pPr>
        <w:jc w:val="center"/>
        <w:rPr>
          <w:rFonts w:ascii="Arial" w:hAnsi="Arial" w:cs="Arial"/>
          <w:b/>
          <w:sz w:val="28"/>
          <w:szCs w:val="28"/>
        </w:rPr>
      </w:pPr>
      <w:r w:rsidRPr="0088692C">
        <w:rPr>
          <w:rFonts w:ascii="Arial" w:hAnsi="Arial" w:cs="Arial"/>
          <w:b/>
          <w:sz w:val="28"/>
          <w:szCs w:val="28"/>
        </w:rPr>
        <w:t xml:space="preserve">Ερωτήσεις &amp; Απαντήσεις σχετικά </w:t>
      </w:r>
      <w:r w:rsidR="005415A6" w:rsidRPr="0088692C">
        <w:rPr>
          <w:rFonts w:ascii="Arial" w:hAnsi="Arial" w:cs="Arial"/>
          <w:b/>
          <w:sz w:val="28"/>
          <w:szCs w:val="28"/>
        </w:rPr>
        <w:t>με το καθεστώς προστασίας του λύκου στην Ευρωπαϊκή Ένωση</w:t>
      </w:r>
    </w:p>
    <w:p w14:paraId="395C4A9F" w14:textId="77777777" w:rsidR="00AE04CE" w:rsidRPr="0088692C" w:rsidRDefault="00313C2C" w:rsidP="0088692C">
      <w:pPr>
        <w:jc w:val="center"/>
        <w:rPr>
          <w:rFonts w:ascii="Arial" w:hAnsi="Arial" w:cs="Arial"/>
          <w:b/>
        </w:rPr>
      </w:pPr>
      <w:r w:rsidRPr="0088692C">
        <w:rPr>
          <w:rFonts w:ascii="Arial" w:hAnsi="Arial" w:cs="Arial"/>
          <w:b/>
        </w:rPr>
        <w:t xml:space="preserve">Τι σημαίνει η υποβάθμιση του καθεστώτος προστασίας του λύκου και τι μπορεί να γίνει </w:t>
      </w:r>
      <w:r w:rsidR="005415A6" w:rsidRPr="0088692C">
        <w:rPr>
          <w:rFonts w:ascii="Arial" w:hAnsi="Arial" w:cs="Arial"/>
          <w:b/>
        </w:rPr>
        <w:t xml:space="preserve">για να διατηρηθεί η </w:t>
      </w:r>
      <w:r w:rsidRPr="0088692C">
        <w:rPr>
          <w:rFonts w:ascii="Arial" w:hAnsi="Arial" w:cs="Arial"/>
          <w:b/>
        </w:rPr>
        <w:t>αυστηρή προστασία;</w:t>
      </w:r>
    </w:p>
    <w:p w14:paraId="24A78C3B" w14:textId="77777777" w:rsidR="00313C2C" w:rsidRPr="00313C2C" w:rsidRDefault="00313C2C" w:rsidP="0088692C">
      <w:pPr>
        <w:spacing w:before="100" w:beforeAutospacing="1" w:after="100" w:afterAutospacing="1" w:line="240" w:lineRule="auto"/>
        <w:jc w:val="both"/>
        <w:outlineLvl w:val="1"/>
        <w:rPr>
          <w:rFonts w:ascii="Arial" w:hAnsi="Arial" w:cs="Arial"/>
          <w:b/>
        </w:rPr>
      </w:pPr>
      <w:r w:rsidRPr="0088692C">
        <w:rPr>
          <w:rFonts w:ascii="Arial" w:hAnsi="Arial" w:cs="Arial"/>
          <w:b/>
          <w:highlight w:val="yellow"/>
        </w:rPr>
        <w:t>Πολιτικό πλαίσιο</w:t>
      </w:r>
    </w:p>
    <w:p w14:paraId="4ABB7E70" w14:textId="0398F173" w:rsidR="00313C2C" w:rsidRPr="00313C2C" w:rsidRDefault="00313C2C" w:rsidP="0088692C">
      <w:pPr>
        <w:spacing w:before="160" w:line="276" w:lineRule="auto"/>
        <w:jc w:val="both"/>
        <w:rPr>
          <w:rFonts w:ascii="Arial" w:eastAsia="Arial" w:hAnsi="Arial" w:cs="Arial"/>
        </w:rPr>
      </w:pPr>
      <w:r w:rsidRPr="00313C2C">
        <w:rPr>
          <w:rFonts w:ascii="Arial" w:eastAsia="Arial" w:hAnsi="Arial" w:cs="Arial"/>
        </w:rPr>
        <w:t xml:space="preserve">Για δεκαετίες, οι λύκοι προστατεύονταν αυστηρά βάσει της </w:t>
      </w:r>
      <w:hyperlink r:id="rId8" w:history="1">
        <w:r w:rsidRPr="0088692C">
          <w:rPr>
            <w:rStyle w:val="Hyperlink"/>
            <w:rFonts w:ascii="Arial" w:eastAsia="Arial" w:hAnsi="Arial" w:cs="Arial"/>
          </w:rPr>
          <w:t>Σύμβασης της Βέρνης</w:t>
        </w:r>
      </w:hyperlink>
      <w:r w:rsidRPr="00313C2C">
        <w:rPr>
          <w:rFonts w:ascii="Arial" w:eastAsia="Arial" w:hAnsi="Arial" w:cs="Arial"/>
        </w:rPr>
        <w:t xml:space="preserve"> και της </w:t>
      </w:r>
      <w:hyperlink r:id="rId9" w:history="1">
        <w:r w:rsidR="00075E08">
          <w:rPr>
            <w:rStyle w:val="Hyperlink"/>
            <w:rFonts w:ascii="Arial" w:eastAsia="Arial" w:hAnsi="Arial" w:cs="Arial"/>
          </w:rPr>
          <w:t xml:space="preserve">Οδηγίας </w:t>
        </w:r>
        <w:r w:rsidRPr="0088692C">
          <w:rPr>
            <w:rStyle w:val="Hyperlink"/>
            <w:rFonts w:ascii="Arial" w:eastAsia="Arial" w:hAnsi="Arial" w:cs="Arial"/>
          </w:rPr>
          <w:t>για τους Οικοτόπους της Ε</w:t>
        </w:r>
        <w:r w:rsidR="00075E08">
          <w:rPr>
            <w:rStyle w:val="Hyperlink"/>
            <w:rFonts w:ascii="Arial" w:eastAsia="Arial" w:hAnsi="Arial" w:cs="Arial"/>
          </w:rPr>
          <w:t>υρωπαϊκής Ένωσης</w:t>
        </w:r>
      </w:hyperlink>
      <w:r w:rsidR="00075E08">
        <w:rPr>
          <w:rFonts w:ascii="Arial" w:eastAsia="Arial" w:hAnsi="Arial" w:cs="Arial"/>
        </w:rPr>
        <w:t xml:space="preserve"> (ΕΕ)</w:t>
      </w:r>
      <w:r w:rsidRPr="00313C2C">
        <w:rPr>
          <w:rFonts w:ascii="Arial" w:eastAsia="Arial" w:hAnsi="Arial" w:cs="Arial"/>
        </w:rPr>
        <w:t>. Αυτό επέτρεψε στους πληθυσμούς των λύκων να ανακά</w:t>
      </w:r>
      <w:r w:rsidR="001502FF" w:rsidRPr="0088692C">
        <w:rPr>
          <w:rFonts w:ascii="Arial" w:eastAsia="Arial" w:hAnsi="Arial" w:cs="Arial"/>
        </w:rPr>
        <w:t>μψουν από τα όρια της εξαφάνισης και αποτέλεσε</w:t>
      </w:r>
      <w:r w:rsidRPr="00313C2C">
        <w:rPr>
          <w:rFonts w:ascii="Arial" w:eastAsia="Arial" w:hAnsi="Arial" w:cs="Arial"/>
        </w:rPr>
        <w:t xml:space="preserve"> μία από τις πιο αξιοσημείωτες επιτυχίες της ΕΕ </w:t>
      </w:r>
      <w:r w:rsidR="001502FF" w:rsidRPr="0088692C">
        <w:rPr>
          <w:rFonts w:ascii="Arial" w:eastAsia="Arial" w:hAnsi="Arial" w:cs="Arial"/>
        </w:rPr>
        <w:t xml:space="preserve">στη </w:t>
      </w:r>
      <w:r w:rsidRPr="00313C2C">
        <w:rPr>
          <w:rFonts w:ascii="Arial" w:eastAsia="Arial" w:hAnsi="Arial" w:cs="Arial"/>
        </w:rPr>
        <w:t>διατήρηση της άγριας πανίδας.</w:t>
      </w:r>
    </w:p>
    <w:p w14:paraId="15EE61B6" w14:textId="77777777" w:rsidR="00313C2C" w:rsidRPr="00313C2C" w:rsidRDefault="005415A6" w:rsidP="0088692C">
      <w:pPr>
        <w:spacing w:before="160" w:line="276" w:lineRule="auto"/>
        <w:jc w:val="both"/>
        <w:rPr>
          <w:rFonts w:ascii="Arial" w:eastAsia="Arial" w:hAnsi="Arial" w:cs="Arial"/>
        </w:rPr>
      </w:pPr>
      <w:r w:rsidRPr="0088692C">
        <w:rPr>
          <w:rFonts w:ascii="Arial" w:eastAsia="Arial" w:hAnsi="Arial" w:cs="Arial"/>
        </w:rPr>
        <w:t>Η στροφή της ΕΕ όσον αφορά τη διατήρηση του λύκου</w:t>
      </w:r>
      <w:r w:rsidR="00313C2C" w:rsidRPr="00313C2C">
        <w:rPr>
          <w:rFonts w:ascii="Arial" w:eastAsia="Arial" w:hAnsi="Arial" w:cs="Arial"/>
        </w:rPr>
        <w:t xml:space="preserve"> ξεκίνησε τον Σεπτέμβριο του 2023, όταν η Πρόεδρος της Επιτροπής, </w:t>
      </w:r>
      <w:r w:rsidR="00313C2C" w:rsidRPr="00313C2C">
        <w:rPr>
          <w:rFonts w:ascii="Arial" w:eastAsia="Arial" w:hAnsi="Arial" w:cs="Arial"/>
          <w:lang w:val="en"/>
        </w:rPr>
        <w:t>Ursula</w:t>
      </w:r>
      <w:r w:rsidR="00313C2C" w:rsidRPr="00313C2C">
        <w:rPr>
          <w:rFonts w:ascii="Arial" w:eastAsia="Arial" w:hAnsi="Arial" w:cs="Arial"/>
        </w:rPr>
        <w:t xml:space="preserve"> </w:t>
      </w:r>
      <w:r w:rsidR="00313C2C" w:rsidRPr="00313C2C">
        <w:rPr>
          <w:rFonts w:ascii="Arial" w:eastAsia="Arial" w:hAnsi="Arial" w:cs="Arial"/>
          <w:lang w:val="en"/>
        </w:rPr>
        <w:t>von</w:t>
      </w:r>
      <w:r w:rsidR="00313C2C" w:rsidRPr="00313C2C">
        <w:rPr>
          <w:rFonts w:ascii="Arial" w:eastAsia="Arial" w:hAnsi="Arial" w:cs="Arial"/>
        </w:rPr>
        <w:t xml:space="preserve"> </w:t>
      </w:r>
      <w:r w:rsidR="00313C2C" w:rsidRPr="00313C2C">
        <w:rPr>
          <w:rFonts w:ascii="Arial" w:eastAsia="Arial" w:hAnsi="Arial" w:cs="Arial"/>
          <w:lang w:val="en"/>
        </w:rPr>
        <w:t>der</w:t>
      </w:r>
      <w:r w:rsidR="00313C2C" w:rsidRPr="00313C2C">
        <w:rPr>
          <w:rFonts w:ascii="Arial" w:eastAsia="Arial" w:hAnsi="Arial" w:cs="Arial"/>
        </w:rPr>
        <w:t xml:space="preserve"> </w:t>
      </w:r>
      <w:r w:rsidR="00313C2C" w:rsidRPr="00313C2C">
        <w:rPr>
          <w:rFonts w:ascii="Arial" w:eastAsia="Arial" w:hAnsi="Arial" w:cs="Arial"/>
          <w:lang w:val="en"/>
        </w:rPr>
        <w:t>Leyen</w:t>
      </w:r>
      <w:r w:rsidR="00313C2C" w:rsidRPr="00313C2C">
        <w:rPr>
          <w:rFonts w:ascii="Arial" w:eastAsia="Arial" w:hAnsi="Arial" w:cs="Arial"/>
        </w:rPr>
        <w:t xml:space="preserve">, </w:t>
      </w:r>
      <w:r w:rsidRPr="0088692C">
        <w:rPr>
          <w:rFonts w:ascii="Arial" w:eastAsia="Arial" w:hAnsi="Arial" w:cs="Arial"/>
        </w:rPr>
        <w:t>τάχθηκε υπέρ</w:t>
      </w:r>
      <w:r w:rsidR="009062FE" w:rsidRPr="0088692C">
        <w:rPr>
          <w:rFonts w:ascii="Arial" w:eastAsia="Arial" w:hAnsi="Arial" w:cs="Arial"/>
        </w:rPr>
        <w:t xml:space="preserve"> της</w:t>
      </w:r>
      <w:r w:rsidR="00313C2C" w:rsidRPr="00313C2C">
        <w:rPr>
          <w:rFonts w:ascii="Arial" w:eastAsia="Arial" w:hAnsi="Arial" w:cs="Arial"/>
        </w:rPr>
        <w:t xml:space="preserve"> υποβάθμιση</w:t>
      </w:r>
      <w:r w:rsidR="009062FE" w:rsidRPr="0088692C">
        <w:rPr>
          <w:rFonts w:ascii="Arial" w:eastAsia="Arial" w:hAnsi="Arial" w:cs="Arial"/>
        </w:rPr>
        <w:t>ς</w:t>
      </w:r>
      <w:r w:rsidR="00313C2C" w:rsidRPr="00313C2C">
        <w:rPr>
          <w:rFonts w:ascii="Arial" w:eastAsia="Arial" w:hAnsi="Arial" w:cs="Arial"/>
        </w:rPr>
        <w:t xml:space="preserve"> του καθεστώτος προστασίας μετά τον </w:t>
      </w:r>
      <w:hyperlink r:id="rId10" w:history="1">
        <w:r w:rsidR="00313C2C" w:rsidRPr="0088692C">
          <w:rPr>
            <w:rStyle w:val="Hyperlink"/>
            <w:rFonts w:ascii="Arial" w:eastAsia="Arial" w:hAnsi="Arial" w:cs="Arial"/>
          </w:rPr>
          <w:t xml:space="preserve">θάνατο </w:t>
        </w:r>
        <w:r w:rsidR="001502FF" w:rsidRPr="0088692C">
          <w:rPr>
            <w:rStyle w:val="Hyperlink"/>
            <w:rFonts w:ascii="Arial" w:eastAsia="Arial" w:hAnsi="Arial" w:cs="Arial"/>
          </w:rPr>
          <w:t>του</w:t>
        </w:r>
        <w:r w:rsidR="00313C2C" w:rsidRPr="0088692C">
          <w:rPr>
            <w:rStyle w:val="Hyperlink"/>
            <w:rFonts w:ascii="Arial" w:eastAsia="Arial" w:hAnsi="Arial" w:cs="Arial"/>
          </w:rPr>
          <w:t xml:space="preserve"> πόνυ της, </w:t>
        </w:r>
        <w:r w:rsidR="00313C2C" w:rsidRPr="0088692C">
          <w:rPr>
            <w:rStyle w:val="Hyperlink"/>
            <w:rFonts w:ascii="Arial" w:eastAsia="Arial" w:hAnsi="Arial" w:cs="Arial"/>
            <w:lang w:val="en"/>
          </w:rPr>
          <w:t>Dolly</w:t>
        </w:r>
        <w:r w:rsidR="00313C2C" w:rsidRPr="0088692C">
          <w:rPr>
            <w:rStyle w:val="Hyperlink"/>
            <w:rFonts w:ascii="Arial" w:eastAsia="Arial" w:hAnsi="Arial" w:cs="Arial"/>
          </w:rPr>
          <w:t>,</w:t>
        </w:r>
      </w:hyperlink>
      <w:r w:rsidR="00313C2C" w:rsidRPr="00313C2C">
        <w:rPr>
          <w:rFonts w:ascii="Arial" w:eastAsia="Arial" w:hAnsi="Arial" w:cs="Arial"/>
        </w:rPr>
        <w:t xml:space="preserve"> που </w:t>
      </w:r>
      <w:r w:rsidRPr="0088692C">
        <w:rPr>
          <w:rFonts w:ascii="Arial" w:eastAsia="Arial" w:hAnsi="Arial" w:cs="Arial"/>
        </w:rPr>
        <w:t xml:space="preserve">σύμφωνα με πληροφορίες </w:t>
      </w:r>
      <w:r w:rsidR="00313C2C" w:rsidRPr="00313C2C">
        <w:rPr>
          <w:rFonts w:ascii="Arial" w:eastAsia="Arial" w:hAnsi="Arial" w:cs="Arial"/>
        </w:rPr>
        <w:t xml:space="preserve">αποδόθηκε σε επίθεση λύκου. Τον Δεκέμβριο του 2023, η Ευρωπαϊκή Επιτροπή πρότεινε να υποβαθμιστεί το είδος στο πλαίσιο της Σύμβασης της Βέρνης, με το πρόσχημα </w:t>
      </w:r>
      <w:r w:rsidRPr="0088692C">
        <w:rPr>
          <w:rFonts w:ascii="Arial" w:eastAsia="Arial" w:hAnsi="Arial" w:cs="Arial"/>
        </w:rPr>
        <w:t>της καταστροφής του ζωικού κεφαλαίου.</w:t>
      </w:r>
      <w:r w:rsidR="009062FE" w:rsidRPr="0088692C">
        <w:rPr>
          <w:rFonts w:ascii="Arial" w:eastAsia="Arial" w:hAnsi="Arial" w:cs="Arial"/>
        </w:rPr>
        <w:t xml:space="preserve"> Α</w:t>
      </w:r>
      <w:r w:rsidR="00313C2C" w:rsidRPr="00313C2C">
        <w:rPr>
          <w:rFonts w:ascii="Arial" w:eastAsia="Arial" w:hAnsi="Arial" w:cs="Arial"/>
        </w:rPr>
        <w:t xml:space="preserve">κολούθησε μια διαδικασία διαβούλευσης που η </w:t>
      </w:r>
      <w:r w:rsidR="00000000">
        <w:fldChar w:fldCharType="begin"/>
      </w:r>
      <w:r w:rsidR="00000000">
        <w:instrText>HYPERLINK "https://www.clientearth.org/latest/press-office/press-releases/ombudsman-opens-inquiry-after-eu-trashes-wolf-protections/"</w:instrText>
      </w:r>
      <w:r w:rsidR="00000000">
        <w:fldChar w:fldCharType="separate"/>
      </w:r>
      <w:proofErr w:type="spellStart"/>
      <w:r w:rsidR="00313C2C" w:rsidRPr="0088692C">
        <w:rPr>
          <w:rStyle w:val="Hyperlink"/>
          <w:rFonts w:ascii="Arial" w:eastAsia="Arial" w:hAnsi="Arial" w:cs="Arial"/>
          <w:lang w:val="en"/>
        </w:rPr>
        <w:t>ClientEarth</w:t>
      </w:r>
      <w:proofErr w:type="spellEnd"/>
      <w:r w:rsidR="00000000">
        <w:rPr>
          <w:rStyle w:val="Hyperlink"/>
          <w:rFonts w:ascii="Arial" w:eastAsia="Arial" w:hAnsi="Arial" w:cs="Arial"/>
          <w:lang w:val="en"/>
        </w:rPr>
        <w:fldChar w:fldCharType="end"/>
      </w:r>
      <w:r w:rsidR="00313C2C" w:rsidRPr="00313C2C">
        <w:rPr>
          <w:rFonts w:ascii="Arial" w:eastAsia="Arial" w:hAnsi="Arial" w:cs="Arial"/>
        </w:rPr>
        <w:t xml:space="preserve"> θεώρησε ελαττωματική και διερευνήθηκε από τον </w:t>
      </w:r>
      <w:r w:rsidR="00000000">
        <w:fldChar w:fldCharType="begin"/>
      </w:r>
      <w:r w:rsidR="00000000">
        <w:instrText>HYPERLINK "https://www.ombudsman.europa.eu/en/opening-summary/en/194686"</w:instrText>
      </w:r>
      <w:r w:rsidR="00000000">
        <w:fldChar w:fldCharType="separate"/>
      </w:r>
      <w:r w:rsidR="00313C2C" w:rsidRPr="0088692C">
        <w:rPr>
          <w:rStyle w:val="Hyperlink"/>
          <w:rFonts w:ascii="Arial" w:eastAsia="Arial" w:hAnsi="Arial" w:cs="Arial"/>
        </w:rPr>
        <w:t>Ευρωπαίο Διαμεσολαβητή</w:t>
      </w:r>
      <w:r w:rsidR="00000000">
        <w:rPr>
          <w:rStyle w:val="Hyperlink"/>
          <w:rFonts w:ascii="Arial" w:eastAsia="Arial" w:hAnsi="Arial" w:cs="Arial"/>
        </w:rPr>
        <w:fldChar w:fldCharType="end"/>
      </w:r>
      <w:r w:rsidR="00313C2C" w:rsidRPr="00313C2C">
        <w:rPr>
          <w:rFonts w:ascii="Arial" w:eastAsia="Arial" w:hAnsi="Arial" w:cs="Arial"/>
        </w:rPr>
        <w:t xml:space="preserve"> (η υπόθεση έκλεισε το 2025 λόγω παράλληλης δικαστικής διαδικασίας</w:t>
      </w:r>
      <w:r w:rsidR="009062FE" w:rsidRPr="0088692C">
        <w:rPr>
          <w:rStyle w:val="FootnoteReference"/>
          <w:rFonts w:ascii="Arial" w:eastAsia="Arial" w:hAnsi="Arial" w:cs="Arial"/>
        </w:rPr>
        <w:footnoteReference w:id="1"/>
      </w:r>
      <w:r w:rsidR="00313C2C" w:rsidRPr="00313C2C">
        <w:rPr>
          <w:rFonts w:ascii="Arial" w:eastAsia="Arial" w:hAnsi="Arial" w:cs="Arial"/>
        </w:rPr>
        <w:t xml:space="preserve">). </w:t>
      </w:r>
      <w:r w:rsidR="009062FE" w:rsidRPr="0088692C">
        <w:rPr>
          <w:rFonts w:ascii="Arial" w:eastAsia="Arial" w:hAnsi="Arial" w:cs="Arial"/>
        </w:rPr>
        <w:t>Μόλις έ</w:t>
      </w:r>
      <w:r w:rsidR="00313C2C" w:rsidRPr="00313C2C">
        <w:rPr>
          <w:rFonts w:ascii="Arial" w:eastAsia="Arial" w:hAnsi="Arial" w:cs="Arial"/>
        </w:rPr>
        <w:t>ναν χρόνο νωρίτερα, η ΕΕ είχε απορρίψει την ίδια πρόταση λόγω έλλειψης επιστημονικής βάσης.</w:t>
      </w:r>
    </w:p>
    <w:p w14:paraId="7527407B" w14:textId="77777777" w:rsidR="00313C2C" w:rsidRPr="00313C2C" w:rsidRDefault="00313C2C" w:rsidP="0088692C">
      <w:pPr>
        <w:spacing w:before="160" w:line="276" w:lineRule="auto"/>
        <w:jc w:val="both"/>
        <w:rPr>
          <w:rFonts w:ascii="Arial" w:eastAsia="Arial" w:hAnsi="Arial" w:cs="Arial"/>
        </w:rPr>
      </w:pPr>
      <w:r w:rsidRPr="00313C2C">
        <w:rPr>
          <w:rFonts w:ascii="Arial" w:eastAsia="Arial" w:hAnsi="Arial" w:cs="Arial"/>
        </w:rPr>
        <w:t xml:space="preserve">Τον Σεπτέμβριο του 2024, η πλειοψηφία των κρατών-μελών συμφώνησε να υιοθετήσει την πρόταση της </w:t>
      </w:r>
      <w:r w:rsidR="009062FE" w:rsidRPr="0088692C">
        <w:rPr>
          <w:rFonts w:ascii="Arial" w:eastAsia="Arial" w:hAnsi="Arial" w:cs="Arial"/>
        </w:rPr>
        <w:t xml:space="preserve">Ευρωπαϊκής </w:t>
      </w:r>
      <w:r w:rsidRPr="00313C2C">
        <w:rPr>
          <w:rFonts w:ascii="Arial" w:eastAsia="Arial" w:hAnsi="Arial" w:cs="Arial"/>
        </w:rPr>
        <w:t xml:space="preserve">Επιτροπής για </w:t>
      </w:r>
      <w:r w:rsidR="009062FE" w:rsidRPr="0088692C">
        <w:rPr>
          <w:rFonts w:ascii="Arial" w:eastAsia="Arial" w:hAnsi="Arial" w:cs="Arial"/>
        </w:rPr>
        <w:t>υποβάθμιση</w:t>
      </w:r>
      <w:r w:rsidRPr="00313C2C">
        <w:rPr>
          <w:rFonts w:ascii="Arial" w:eastAsia="Arial" w:hAnsi="Arial" w:cs="Arial"/>
        </w:rPr>
        <w:t xml:space="preserve"> του καθεστώτος προστασίας του λύκου στη Σύμβαση της Βέρνης. </w:t>
      </w:r>
      <w:r w:rsidR="009062FE" w:rsidRPr="0088692C">
        <w:rPr>
          <w:rFonts w:ascii="Arial" w:eastAsia="Arial" w:hAnsi="Arial" w:cs="Arial"/>
        </w:rPr>
        <w:t>Λίγους μήνες αργότερα, τ</w:t>
      </w:r>
      <w:r w:rsidRPr="00313C2C">
        <w:rPr>
          <w:rFonts w:ascii="Arial" w:eastAsia="Arial" w:hAnsi="Arial" w:cs="Arial"/>
        </w:rPr>
        <w:t>ον Δεκέμβριο του 2024, η Μόνιμη Επιτροπή της Σύμβασης</w:t>
      </w:r>
      <w:r w:rsidR="009062FE" w:rsidRPr="0088692C">
        <w:rPr>
          <w:rFonts w:ascii="Arial" w:eastAsia="Arial" w:hAnsi="Arial" w:cs="Arial"/>
        </w:rPr>
        <w:t xml:space="preserve"> της Βέρνης</w:t>
      </w:r>
      <w:r w:rsidRPr="00313C2C">
        <w:rPr>
          <w:rFonts w:ascii="Arial" w:eastAsia="Arial" w:hAnsi="Arial" w:cs="Arial"/>
        </w:rPr>
        <w:t xml:space="preserve"> ψήφισε υπέρ της </w:t>
      </w:r>
      <w:r w:rsidR="009062FE" w:rsidRPr="0088692C">
        <w:rPr>
          <w:rFonts w:ascii="Arial" w:eastAsia="Arial" w:hAnsi="Arial" w:cs="Arial"/>
        </w:rPr>
        <w:t>υποβάθμισης</w:t>
      </w:r>
      <w:r w:rsidRPr="00313C2C">
        <w:rPr>
          <w:rFonts w:ascii="Arial" w:eastAsia="Arial" w:hAnsi="Arial" w:cs="Arial"/>
        </w:rPr>
        <w:t xml:space="preserve"> του καθεστώτος.</w:t>
      </w:r>
    </w:p>
    <w:p w14:paraId="7DE1A5D1" w14:textId="304C381D" w:rsidR="009062FE" w:rsidRPr="00313C2C" w:rsidRDefault="009062FE" w:rsidP="0088692C">
      <w:pPr>
        <w:spacing w:before="160" w:line="276" w:lineRule="auto"/>
        <w:jc w:val="both"/>
        <w:rPr>
          <w:rFonts w:ascii="Arial" w:eastAsia="Arial" w:hAnsi="Arial" w:cs="Arial"/>
        </w:rPr>
      </w:pPr>
      <w:r w:rsidRPr="0088692C">
        <w:rPr>
          <w:rFonts w:ascii="Arial" w:eastAsia="Arial" w:hAnsi="Arial" w:cs="Arial"/>
        </w:rPr>
        <w:t xml:space="preserve">Μόλις παρακάμφθηκαν τα διεθνή εμπόδια για την υποβάθμιση του καθεστώτος προστασίας του λύκου, </w:t>
      </w:r>
      <w:r w:rsidRPr="00313C2C">
        <w:rPr>
          <w:rFonts w:ascii="Arial" w:eastAsia="Arial" w:hAnsi="Arial" w:cs="Arial"/>
        </w:rPr>
        <w:t>ο δρόμος άνοιξε για αντίστοιχες αλλαγές στη νομοθ</w:t>
      </w:r>
      <w:r w:rsidRPr="0088692C">
        <w:rPr>
          <w:rFonts w:ascii="Arial" w:eastAsia="Arial" w:hAnsi="Arial" w:cs="Arial"/>
        </w:rPr>
        <w:t xml:space="preserve">εσία της ΕΕ. Τον Μάιο του 2025, μετά από ψηφοφορία στο </w:t>
      </w:r>
      <w:r w:rsidR="00075E08" w:rsidRPr="00075E08">
        <w:rPr>
          <w:rFonts w:ascii="Arial" w:eastAsia="Arial" w:hAnsi="Arial" w:cs="Arial"/>
        </w:rPr>
        <w:t xml:space="preserve">Ευρωπαϊκό </w:t>
      </w:r>
      <w:r w:rsidRPr="0088692C">
        <w:rPr>
          <w:rFonts w:ascii="Arial" w:eastAsia="Arial" w:hAnsi="Arial" w:cs="Arial"/>
        </w:rPr>
        <w:t>Συμβούλιο</w:t>
      </w:r>
      <w:r w:rsidR="00075E08">
        <w:rPr>
          <w:rFonts w:ascii="Arial" w:eastAsia="Arial" w:hAnsi="Arial" w:cs="Arial"/>
        </w:rPr>
        <w:t xml:space="preserve"> και στο Ευρωπαϊκό Κοινοβούλιο, </w:t>
      </w:r>
      <w:r w:rsidRPr="0088692C">
        <w:rPr>
          <w:rFonts w:ascii="Arial" w:eastAsia="Arial" w:hAnsi="Arial" w:cs="Arial"/>
        </w:rPr>
        <w:t>η ΕΕ υποβάθμισε το καθεστώς προστασίας του λύκου στο πλαίσιο της Οδηγίας για τους Οικοτόπους. Η τροπολογία τέθηκε σε ισχύ στις 14 Ιουλίου 2025</w:t>
      </w:r>
      <w:r w:rsidR="00075E08" w:rsidRPr="00075E08">
        <w:rPr>
          <w:rFonts w:ascii="Arial" w:eastAsia="Arial" w:hAnsi="Arial" w:cs="Arial"/>
        </w:rPr>
        <w:t xml:space="preserve"> </w:t>
      </w:r>
      <w:r w:rsidR="00075E08">
        <w:rPr>
          <w:rFonts w:ascii="Arial" w:eastAsia="Arial" w:hAnsi="Arial" w:cs="Arial"/>
        </w:rPr>
        <w:t>και τ</w:t>
      </w:r>
      <w:r w:rsidRPr="0088692C">
        <w:rPr>
          <w:rFonts w:ascii="Arial" w:eastAsia="Arial" w:hAnsi="Arial" w:cs="Arial"/>
        </w:rPr>
        <w:t>α κράτη-μέλη πρέπει να την ενσωματώσουν έως τις 15 Ιανουαρίου 2027.</w:t>
      </w:r>
    </w:p>
    <w:p w14:paraId="54A33BEF" w14:textId="73F9B8F2" w:rsidR="00313C2C" w:rsidRPr="00313C2C" w:rsidRDefault="00BF7B95" w:rsidP="0088692C">
      <w:pPr>
        <w:spacing w:before="160" w:line="276" w:lineRule="auto"/>
        <w:jc w:val="both"/>
        <w:rPr>
          <w:rFonts w:ascii="Arial" w:eastAsia="Arial" w:hAnsi="Arial" w:cs="Arial"/>
        </w:rPr>
      </w:pPr>
      <w:r w:rsidRPr="0088692C">
        <w:rPr>
          <w:rFonts w:ascii="Arial" w:eastAsia="Arial" w:hAnsi="Arial" w:cs="Arial"/>
        </w:rPr>
        <w:t>Από πλευράς</w:t>
      </w:r>
      <w:r w:rsidR="00313C2C" w:rsidRPr="00313C2C">
        <w:rPr>
          <w:rFonts w:ascii="Arial" w:eastAsia="Arial" w:hAnsi="Arial" w:cs="Arial"/>
        </w:rPr>
        <w:t xml:space="preserve"> διατήρηση</w:t>
      </w:r>
      <w:r w:rsidRPr="0088692C">
        <w:rPr>
          <w:rFonts w:ascii="Arial" w:eastAsia="Arial" w:hAnsi="Arial" w:cs="Arial"/>
        </w:rPr>
        <w:t>ς του είδους</w:t>
      </w:r>
      <w:r w:rsidR="00313C2C" w:rsidRPr="00313C2C">
        <w:rPr>
          <w:rFonts w:ascii="Arial" w:eastAsia="Arial" w:hAnsi="Arial" w:cs="Arial"/>
        </w:rPr>
        <w:t xml:space="preserve">, </w:t>
      </w:r>
      <w:r w:rsidRPr="0088692C">
        <w:rPr>
          <w:rFonts w:ascii="Arial" w:eastAsia="Arial" w:hAnsi="Arial" w:cs="Arial"/>
        </w:rPr>
        <w:t xml:space="preserve">αυτή </w:t>
      </w:r>
      <w:r w:rsidR="00313C2C" w:rsidRPr="00313C2C">
        <w:rPr>
          <w:rFonts w:ascii="Arial" w:eastAsia="Arial" w:hAnsi="Arial" w:cs="Arial"/>
        </w:rPr>
        <w:t xml:space="preserve">η πολιτικά υποκινούμενη απόφαση αναμένεται να αναιρέσει δεκαετίες προόδου. Παρότι η αυστηρή προστασία </w:t>
      </w:r>
      <w:r w:rsidRPr="0088692C">
        <w:rPr>
          <w:rFonts w:ascii="Arial" w:eastAsia="Arial" w:hAnsi="Arial" w:cs="Arial"/>
        </w:rPr>
        <w:t xml:space="preserve">που παρείχε η Οδηγία για τους Οικοτόπους </w:t>
      </w:r>
      <w:r w:rsidR="00313C2C" w:rsidRPr="00313C2C">
        <w:rPr>
          <w:rFonts w:ascii="Arial" w:eastAsia="Arial" w:hAnsi="Arial" w:cs="Arial"/>
        </w:rPr>
        <w:t>επέτρεψε την ανάκαμψη των πληθυσμών</w:t>
      </w:r>
      <w:r w:rsidRPr="0088692C">
        <w:rPr>
          <w:rFonts w:ascii="Arial" w:eastAsia="Arial" w:hAnsi="Arial" w:cs="Arial"/>
        </w:rPr>
        <w:t xml:space="preserve"> του λύκου</w:t>
      </w:r>
      <w:r w:rsidR="00313C2C" w:rsidRPr="00313C2C">
        <w:rPr>
          <w:rFonts w:ascii="Arial" w:eastAsia="Arial" w:hAnsi="Arial" w:cs="Arial"/>
        </w:rPr>
        <w:t xml:space="preserve">, </w:t>
      </w:r>
      <w:r w:rsidRPr="0088692C">
        <w:rPr>
          <w:rFonts w:ascii="Arial" w:eastAsia="Arial" w:hAnsi="Arial" w:cs="Arial"/>
        </w:rPr>
        <w:t xml:space="preserve">η κατάστασή τους παραμένει ευάλωτη στο μεγαλύτερο μέρος της Ευρώπης. </w:t>
      </w:r>
      <w:r w:rsidR="00313C2C" w:rsidRPr="00313C2C">
        <w:rPr>
          <w:rFonts w:ascii="Arial" w:eastAsia="Arial" w:hAnsi="Arial" w:cs="Arial"/>
        </w:rPr>
        <w:t xml:space="preserve">Η επιστήμη δείχνει ότι η ανάκαμψη </w:t>
      </w:r>
      <w:r w:rsidRPr="0088692C">
        <w:rPr>
          <w:rFonts w:ascii="Arial" w:eastAsia="Arial" w:hAnsi="Arial" w:cs="Arial"/>
        </w:rPr>
        <w:t>του λύκου βρίσκεται ακόμ</w:t>
      </w:r>
      <w:r w:rsidR="00075E08">
        <w:rPr>
          <w:rFonts w:ascii="Arial" w:eastAsia="Arial" w:hAnsi="Arial" w:cs="Arial"/>
        </w:rPr>
        <w:t>η</w:t>
      </w:r>
      <w:r w:rsidRPr="0088692C">
        <w:rPr>
          <w:rFonts w:ascii="Arial" w:eastAsia="Arial" w:hAnsi="Arial" w:cs="Arial"/>
        </w:rPr>
        <w:t xml:space="preserve"> σε εξέλιξη</w:t>
      </w:r>
      <w:r w:rsidR="00313C2C" w:rsidRPr="00313C2C">
        <w:rPr>
          <w:rFonts w:ascii="Arial" w:eastAsia="Arial" w:hAnsi="Arial" w:cs="Arial"/>
        </w:rPr>
        <w:t xml:space="preserve"> και </w:t>
      </w:r>
      <w:r w:rsidRPr="0088692C">
        <w:rPr>
          <w:rFonts w:ascii="Arial" w:eastAsia="Arial" w:hAnsi="Arial" w:cs="Arial"/>
        </w:rPr>
        <w:t xml:space="preserve">ότι </w:t>
      </w:r>
      <w:r w:rsidR="00313C2C" w:rsidRPr="00313C2C">
        <w:rPr>
          <w:rFonts w:ascii="Arial" w:eastAsia="Arial" w:hAnsi="Arial" w:cs="Arial"/>
        </w:rPr>
        <w:t>οι βασικοί στόχοι</w:t>
      </w:r>
      <w:r w:rsidRPr="0088692C">
        <w:rPr>
          <w:rFonts w:ascii="Arial" w:eastAsia="Arial" w:hAnsi="Arial" w:cs="Arial"/>
        </w:rPr>
        <w:t xml:space="preserve"> τόσο</w:t>
      </w:r>
      <w:r w:rsidR="00313C2C" w:rsidRPr="00313C2C">
        <w:rPr>
          <w:rFonts w:ascii="Arial" w:eastAsia="Arial" w:hAnsi="Arial" w:cs="Arial"/>
        </w:rPr>
        <w:t xml:space="preserve"> της Σύμβασης της Βέρνης </w:t>
      </w:r>
      <w:r w:rsidRPr="0088692C">
        <w:rPr>
          <w:rFonts w:ascii="Arial" w:eastAsia="Arial" w:hAnsi="Arial" w:cs="Arial"/>
        </w:rPr>
        <w:t xml:space="preserve">όσο </w:t>
      </w:r>
      <w:r w:rsidR="00313C2C" w:rsidRPr="00313C2C">
        <w:rPr>
          <w:rFonts w:ascii="Arial" w:eastAsia="Arial" w:hAnsi="Arial" w:cs="Arial"/>
        </w:rPr>
        <w:t>και της Οδηγίας</w:t>
      </w:r>
      <w:r w:rsidRPr="0088692C">
        <w:rPr>
          <w:rFonts w:ascii="Arial" w:eastAsia="Arial" w:hAnsi="Arial" w:cs="Arial"/>
        </w:rPr>
        <w:t xml:space="preserve"> για την αποκατάσταση των απειλούμενων ειδών</w:t>
      </w:r>
      <w:r w:rsidR="00313C2C" w:rsidRPr="00313C2C">
        <w:rPr>
          <w:rFonts w:ascii="Arial" w:eastAsia="Arial" w:hAnsi="Arial" w:cs="Arial"/>
        </w:rPr>
        <w:t xml:space="preserve"> δεν έχουν επιτευχθεί. Η υποβάθμιση </w:t>
      </w:r>
      <w:r w:rsidRPr="0088692C">
        <w:rPr>
          <w:rFonts w:ascii="Arial" w:eastAsia="Arial" w:hAnsi="Arial" w:cs="Arial"/>
        </w:rPr>
        <w:t>παρέχει</w:t>
      </w:r>
      <w:r w:rsidR="00313C2C" w:rsidRPr="00313C2C">
        <w:rPr>
          <w:rFonts w:ascii="Arial" w:eastAsia="Arial" w:hAnsi="Arial" w:cs="Arial"/>
        </w:rPr>
        <w:t xml:space="preserve"> μεγαλύτερη ευελιξία στα κράτη-μέλη για τη «διαχείριση» των πληθυσμών, συμπεριλαμβανομένης </w:t>
      </w:r>
      <w:r w:rsidRPr="0088692C">
        <w:rPr>
          <w:rFonts w:ascii="Arial" w:eastAsia="Arial" w:hAnsi="Arial" w:cs="Arial"/>
        </w:rPr>
        <w:t>της υπαγωγής τους σε κυνηγετικούς κανόνες</w:t>
      </w:r>
      <w:r w:rsidR="00313C2C" w:rsidRPr="00313C2C">
        <w:rPr>
          <w:rFonts w:ascii="Arial" w:eastAsia="Arial" w:hAnsi="Arial" w:cs="Arial"/>
        </w:rPr>
        <w:t xml:space="preserve">, </w:t>
      </w:r>
      <w:r w:rsidRPr="0088692C">
        <w:rPr>
          <w:rFonts w:ascii="Arial" w:eastAsia="Arial" w:hAnsi="Arial" w:cs="Arial"/>
        </w:rPr>
        <w:t xml:space="preserve">το οποίο </w:t>
      </w:r>
      <w:r w:rsidRPr="0088692C">
        <w:rPr>
          <w:rFonts w:ascii="Arial" w:eastAsia="Arial" w:hAnsi="Arial" w:cs="Arial"/>
        </w:rPr>
        <w:lastRenderedPageBreak/>
        <w:t xml:space="preserve">είναι βέβαιο ότι θα απειλήσει το είδος. </w:t>
      </w:r>
      <w:hyperlink r:id="rId11" w:history="1">
        <w:r w:rsidR="00313C2C" w:rsidRPr="0088692C">
          <w:rPr>
            <w:rStyle w:val="Hyperlink"/>
            <w:rFonts w:ascii="Arial" w:eastAsia="Arial" w:hAnsi="Arial" w:cs="Arial"/>
          </w:rPr>
          <w:t>Η ίδια η Επιτροπή</w:t>
        </w:r>
      </w:hyperlink>
      <w:r w:rsidR="00313C2C" w:rsidRPr="00313C2C">
        <w:rPr>
          <w:rFonts w:ascii="Arial" w:eastAsia="Arial" w:hAnsi="Arial" w:cs="Arial"/>
        </w:rPr>
        <w:t xml:space="preserve"> επιβεβαιώνει ότι δεν υπάρχουν στοιχεία πως η θήρευση</w:t>
      </w:r>
      <w:r w:rsidRPr="0088692C">
        <w:rPr>
          <w:rFonts w:ascii="Arial" w:eastAsia="Arial" w:hAnsi="Arial" w:cs="Arial"/>
        </w:rPr>
        <w:t xml:space="preserve"> του είδους</w:t>
      </w:r>
      <w:r w:rsidR="00313C2C" w:rsidRPr="00313C2C">
        <w:rPr>
          <w:rFonts w:ascii="Arial" w:eastAsia="Arial" w:hAnsi="Arial" w:cs="Arial"/>
        </w:rPr>
        <w:t xml:space="preserve"> μειώνει τις επιθέσεις </w:t>
      </w:r>
      <w:r w:rsidR="00F81DEB" w:rsidRPr="0088692C">
        <w:rPr>
          <w:rFonts w:ascii="Arial" w:eastAsia="Arial" w:hAnsi="Arial" w:cs="Arial"/>
        </w:rPr>
        <w:t>στο ζωικό κεφάλαιο.</w:t>
      </w:r>
    </w:p>
    <w:p w14:paraId="153F2727" w14:textId="77777777" w:rsidR="00313C2C" w:rsidRPr="0088692C" w:rsidRDefault="00277ED5" w:rsidP="0088692C">
      <w:pPr>
        <w:spacing w:before="100" w:beforeAutospacing="1" w:after="100" w:afterAutospacing="1" w:line="240" w:lineRule="auto"/>
        <w:jc w:val="both"/>
        <w:outlineLvl w:val="1"/>
        <w:rPr>
          <w:rFonts w:ascii="Arial" w:hAnsi="Arial" w:cs="Arial"/>
          <w:b/>
          <w:highlight w:val="yellow"/>
        </w:rPr>
      </w:pPr>
      <w:r w:rsidRPr="0088692C">
        <w:rPr>
          <w:rFonts w:ascii="Arial" w:hAnsi="Arial" w:cs="Arial"/>
          <w:b/>
          <w:highlight w:val="yellow"/>
        </w:rPr>
        <w:t>Τις τελευταίες δεκαετίες, ο λύκος προστατευόταν αυστηρά στο μεγαλύτερο μέρος της ΕΕ. Τι σημαίνει αυτό;</w:t>
      </w:r>
    </w:p>
    <w:p w14:paraId="32CDC927" w14:textId="4F7EC791" w:rsidR="00277ED5" w:rsidRPr="0088692C" w:rsidRDefault="00277ED5" w:rsidP="0088692C">
      <w:pPr>
        <w:jc w:val="both"/>
        <w:rPr>
          <w:rFonts w:ascii="Arial" w:eastAsia="Arial" w:hAnsi="Arial" w:cs="Arial"/>
        </w:rPr>
      </w:pPr>
      <w:r w:rsidRPr="0088692C">
        <w:rPr>
          <w:rFonts w:ascii="Arial" w:eastAsia="Arial" w:hAnsi="Arial" w:cs="Arial"/>
        </w:rPr>
        <w:t xml:space="preserve">Στο μεγαλύτερο μέρος της ΕΕ, ο λύκος προστατεύεται αυστηρά βάσει του Παραρτήματος IV της </w:t>
      </w:r>
      <w:hyperlink r:id="rId12" w:history="1">
        <w:r w:rsidRPr="0088692C">
          <w:rPr>
            <w:rFonts w:ascii="Arial" w:hAnsi="Arial" w:cs="Arial"/>
          </w:rPr>
          <w:t>Οδηγίας για τους Οικοτόπους</w:t>
        </w:r>
      </w:hyperlink>
      <w:r w:rsidRPr="0088692C">
        <w:rPr>
          <w:rFonts w:ascii="Arial" w:eastAsia="Arial" w:hAnsi="Arial" w:cs="Arial"/>
        </w:rPr>
        <w:t xml:space="preserve">. </w:t>
      </w:r>
    </w:p>
    <w:p w14:paraId="1BAAA9AC" w14:textId="77777777" w:rsidR="00C01655" w:rsidRPr="00277ED5" w:rsidRDefault="00C01655" w:rsidP="0088692C">
      <w:pPr>
        <w:spacing w:before="100" w:beforeAutospacing="1" w:after="100" w:afterAutospacing="1" w:line="240" w:lineRule="auto"/>
        <w:jc w:val="both"/>
        <w:rPr>
          <w:rFonts w:ascii="Arial" w:eastAsia="Arial" w:hAnsi="Arial" w:cs="Arial"/>
        </w:rPr>
      </w:pPr>
      <w:r w:rsidRPr="00277ED5">
        <w:rPr>
          <w:rFonts w:ascii="Arial" w:eastAsia="Arial" w:hAnsi="Arial" w:cs="Arial"/>
        </w:rPr>
        <w:t>Αυτό σημαίνει ότι εφαρμόζεται το Άρθρο 12 της Οδηγίας που απαγορεύει, μεταξύ άλλων:</w:t>
      </w:r>
    </w:p>
    <w:p w14:paraId="7D3BF06A" w14:textId="77777777" w:rsidR="00277ED5" w:rsidRPr="0088692C" w:rsidRDefault="00277ED5" w:rsidP="0088692C">
      <w:pPr>
        <w:pStyle w:val="ListParagraph"/>
        <w:numPr>
          <w:ilvl w:val="0"/>
          <w:numId w:val="3"/>
        </w:numPr>
        <w:spacing w:before="100" w:beforeAutospacing="1" w:after="100" w:afterAutospacing="1" w:line="240" w:lineRule="auto"/>
        <w:jc w:val="both"/>
        <w:rPr>
          <w:rFonts w:ascii="Arial" w:eastAsia="Arial" w:hAnsi="Arial" w:cs="Arial"/>
        </w:rPr>
      </w:pPr>
      <w:r w:rsidRPr="0088692C">
        <w:rPr>
          <w:rFonts w:ascii="Arial" w:eastAsia="Arial" w:hAnsi="Arial" w:cs="Arial"/>
        </w:rPr>
        <w:t>τη θανάτωση και σύλληψη των ζώων</w:t>
      </w:r>
    </w:p>
    <w:p w14:paraId="7F8316E7" w14:textId="77777777" w:rsidR="00277ED5" w:rsidRPr="0088692C" w:rsidRDefault="00277ED5" w:rsidP="0088692C">
      <w:pPr>
        <w:pStyle w:val="ListParagraph"/>
        <w:numPr>
          <w:ilvl w:val="0"/>
          <w:numId w:val="3"/>
        </w:numPr>
        <w:spacing w:before="100" w:beforeAutospacing="1" w:after="100" w:afterAutospacing="1" w:line="240" w:lineRule="auto"/>
        <w:jc w:val="both"/>
        <w:rPr>
          <w:rFonts w:ascii="Arial" w:eastAsia="Arial" w:hAnsi="Arial" w:cs="Arial"/>
        </w:rPr>
      </w:pPr>
      <w:r w:rsidRPr="0088692C">
        <w:rPr>
          <w:rFonts w:ascii="Arial" w:eastAsia="Arial" w:hAnsi="Arial" w:cs="Arial"/>
        </w:rPr>
        <w:t>την όχληση του είδους, ιδίως σε περιόδους αναπαραγωγής ή ανατροφής</w:t>
      </w:r>
    </w:p>
    <w:p w14:paraId="63129A9F" w14:textId="77777777" w:rsidR="00277ED5" w:rsidRPr="0088692C" w:rsidRDefault="00277ED5" w:rsidP="0088692C">
      <w:pPr>
        <w:pStyle w:val="ListParagraph"/>
        <w:numPr>
          <w:ilvl w:val="0"/>
          <w:numId w:val="3"/>
        </w:numPr>
        <w:spacing w:before="100" w:beforeAutospacing="1" w:after="100" w:afterAutospacing="1" w:line="240" w:lineRule="auto"/>
        <w:jc w:val="both"/>
        <w:rPr>
          <w:rFonts w:ascii="Arial" w:eastAsia="Arial" w:hAnsi="Arial" w:cs="Arial"/>
        </w:rPr>
      </w:pPr>
      <w:r w:rsidRPr="0088692C">
        <w:rPr>
          <w:rFonts w:ascii="Arial" w:eastAsia="Arial" w:hAnsi="Arial" w:cs="Arial"/>
        </w:rPr>
        <w:t>την καταστροφή</w:t>
      </w:r>
      <w:r w:rsidR="00C01655" w:rsidRPr="0088692C">
        <w:rPr>
          <w:rFonts w:ascii="Arial" w:eastAsia="Arial" w:hAnsi="Arial" w:cs="Arial"/>
        </w:rPr>
        <w:t xml:space="preserve"> των</w:t>
      </w:r>
      <w:r w:rsidRPr="0088692C">
        <w:rPr>
          <w:rFonts w:ascii="Arial" w:eastAsia="Arial" w:hAnsi="Arial" w:cs="Arial"/>
        </w:rPr>
        <w:t xml:space="preserve"> τόπων αναπαραγωγής και ανάπαυσης</w:t>
      </w:r>
    </w:p>
    <w:p w14:paraId="5BC2A598" w14:textId="77777777" w:rsidR="00C01655" w:rsidRPr="0088692C" w:rsidRDefault="00277ED5" w:rsidP="0088692C">
      <w:pPr>
        <w:jc w:val="both"/>
        <w:rPr>
          <w:rFonts w:ascii="Arial" w:eastAsia="Arial" w:hAnsi="Arial" w:cs="Arial"/>
        </w:rPr>
      </w:pPr>
      <w:r w:rsidRPr="0088692C">
        <w:rPr>
          <w:rFonts w:ascii="Arial" w:eastAsia="Arial" w:hAnsi="Arial" w:cs="Arial"/>
        </w:rPr>
        <w:t xml:space="preserve">Το άρθρο 12 απαιτεί επίσης από τα κράτη μέλη να θεσπίσουν ένα σύστημα παρακολούθησης </w:t>
      </w:r>
      <w:r w:rsidR="00C01655" w:rsidRPr="0088692C">
        <w:rPr>
          <w:rFonts w:ascii="Arial" w:eastAsia="Arial" w:hAnsi="Arial" w:cs="Arial"/>
        </w:rPr>
        <w:t xml:space="preserve">των τυχαίων συλλήψεων ή θανατώσεων </w:t>
      </w:r>
      <w:r w:rsidRPr="0088692C">
        <w:rPr>
          <w:rFonts w:ascii="Arial" w:eastAsia="Arial" w:hAnsi="Arial" w:cs="Arial"/>
        </w:rPr>
        <w:t xml:space="preserve">του είδους. </w:t>
      </w:r>
      <w:r w:rsidR="00C01655" w:rsidRPr="0088692C">
        <w:rPr>
          <w:rFonts w:ascii="Arial" w:eastAsia="Arial" w:hAnsi="Arial" w:cs="Arial"/>
        </w:rPr>
        <w:t>Βάσει των πληροφοριών που συγκεντρώνονται, θα πρέπει να αναλαμβάνουν τις απαιτούμενες περαιτέρω έρευνες ή μέτρα διατήρησης ώστε να διασφαλισθεί ότι οι τυχαίες συλλήψεις ή θανατώσεις δεν θα έχουν σημαντικές αρνητικές επιπτώσεις στο είδος.</w:t>
      </w:r>
    </w:p>
    <w:p w14:paraId="55579E45" w14:textId="77777777" w:rsidR="00277ED5" w:rsidRPr="0088692C" w:rsidRDefault="00277ED5" w:rsidP="0088692C">
      <w:pPr>
        <w:jc w:val="both"/>
        <w:rPr>
          <w:rFonts w:ascii="Arial" w:eastAsia="Arial" w:hAnsi="Arial" w:cs="Arial"/>
        </w:rPr>
      </w:pPr>
      <w:r w:rsidRPr="0088692C">
        <w:rPr>
          <w:rFonts w:ascii="Arial" w:eastAsia="Arial" w:hAnsi="Arial" w:cs="Arial"/>
        </w:rPr>
        <w:t xml:space="preserve">Τα κράτη μέλη μπορούν να παρεκκλίνουν από τους κανόνες αυτούς μόνο σε πολύ συγκεκριμένες περιπτώσεις που ορίζονται στο άρθρο 16 της </w:t>
      </w:r>
      <w:r w:rsidR="00C01655" w:rsidRPr="0088692C">
        <w:rPr>
          <w:rFonts w:ascii="Arial" w:eastAsia="Arial" w:hAnsi="Arial" w:cs="Arial"/>
        </w:rPr>
        <w:t>Ο</w:t>
      </w:r>
      <w:r w:rsidR="00D706D2" w:rsidRPr="0088692C">
        <w:rPr>
          <w:rFonts w:ascii="Arial" w:eastAsia="Arial" w:hAnsi="Arial" w:cs="Arial"/>
        </w:rPr>
        <w:t>δηγίας</w:t>
      </w:r>
      <w:r w:rsidRPr="0088692C">
        <w:rPr>
          <w:rFonts w:ascii="Arial" w:eastAsia="Arial" w:hAnsi="Arial" w:cs="Arial"/>
        </w:rPr>
        <w:t>. Για παράδειγμα, μπορούν να γίνουν παρεκκλίσεις:</w:t>
      </w:r>
    </w:p>
    <w:p w14:paraId="1D5FA60B" w14:textId="0A54859D" w:rsidR="005D2D90" w:rsidRPr="0088692C" w:rsidRDefault="00075E08" w:rsidP="0088692C">
      <w:pPr>
        <w:pStyle w:val="ListParagraph"/>
        <w:numPr>
          <w:ilvl w:val="0"/>
          <w:numId w:val="5"/>
        </w:numPr>
        <w:jc w:val="both"/>
        <w:rPr>
          <w:rFonts w:ascii="Arial" w:eastAsia="Arial" w:hAnsi="Arial" w:cs="Arial"/>
        </w:rPr>
      </w:pPr>
      <w:r>
        <w:rPr>
          <w:rFonts w:ascii="Arial" w:eastAsia="Arial" w:hAnsi="Arial" w:cs="Arial"/>
        </w:rPr>
        <w:t>Για την προστασία της</w:t>
      </w:r>
      <w:r w:rsidR="00D706D2" w:rsidRPr="0088692C">
        <w:rPr>
          <w:rFonts w:ascii="Arial" w:eastAsia="Arial" w:hAnsi="Arial" w:cs="Arial"/>
        </w:rPr>
        <w:t xml:space="preserve"> άγρια</w:t>
      </w:r>
      <w:r>
        <w:rPr>
          <w:rFonts w:ascii="Arial" w:eastAsia="Arial" w:hAnsi="Arial" w:cs="Arial"/>
        </w:rPr>
        <w:t>ς</w:t>
      </w:r>
      <w:r w:rsidR="00D706D2" w:rsidRPr="0088692C">
        <w:rPr>
          <w:rFonts w:ascii="Arial" w:eastAsia="Arial" w:hAnsi="Arial" w:cs="Arial"/>
        </w:rPr>
        <w:t xml:space="preserve"> πανίδα</w:t>
      </w:r>
      <w:r>
        <w:rPr>
          <w:rFonts w:ascii="Arial" w:eastAsia="Arial" w:hAnsi="Arial" w:cs="Arial"/>
        </w:rPr>
        <w:t>ς</w:t>
      </w:r>
      <w:r w:rsidR="00D706D2" w:rsidRPr="0088692C">
        <w:rPr>
          <w:rFonts w:ascii="Arial" w:eastAsia="Arial" w:hAnsi="Arial" w:cs="Arial"/>
        </w:rPr>
        <w:t xml:space="preserve"> και χλωρίδα και </w:t>
      </w:r>
      <w:r>
        <w:rPr>
          <w:rFonts w:ascii="Arial" w:eastAsia="Arial" w:hAnsi="Arial" w:cs="Arial"/>
        </w:rPr>
        <w:t>τη διατήρηση των φυσικών οικοτόπων</w:t>
      </w:r>
    </w:p>
    <w:p w14:paraId="7971B9D3" w14:textId="36C8F7EE" w:rsidR="005D2D90" w:rsidRPr="0088692C" w:rsidRDefault="00075E08" w:rsidP="0088692C">
      <w:pPr>
        <w:pStyle w:val="ListParagraph"/>
        <w:numPr>
          <w:ilvl w:val="0"/>
          <w:numId w:val="5"/>
        </w:numPr>
        <w:jc w:val="both"/>
        <w:rPr>
          <w:rFonts w:ascii="Arial" w:eastAsia="Arial" w:hAnsi="Arial" w:cs="Arial"/>
        </w:rPr>
      </w:pPr>
      <w:r>
        <w:rPr>
          <w:rFonts w:ascii="Arial" w:eastAsia="Arial" w:hAnsi="Arial" w:cs="Arial"/>
        </w:rPr>
        <w:t>Για την πρόληψη σοβαρών ζημιών</w:t>
      </w:r>
      <w:r w:rsidR="00D706D2" w:rsidRPr="0088692C">
        <w:rPr>
          <w:rFonts w:ascii="Arial" w:eastAsia="Arial" w:hAnsi="Arial" w:cs="Arial"/>
        </w:rPr>
        <w:t xml:space="preserve">, ιδίως </w:t>
      </w:r>
      <w:r>
        <w:rPr>
          <w:rFonts w:ascii="Arial" w:eastAsia="Arial" w:hAnsi="Arial" w:cs="Arial"/>
        </w:rPr>
        <w:t>σε καλλιέργειες</w:t>
      </w:r>
      <w:r w:rsidR="00D706D2" w:rsidRPr="0088692C">
        <w:rPr>
          <w:rFonts w:ascii="Arial" w:eastAsia="Arial" w:hAnsi="Arial" w:cs="Arial"/>
        </w:rPr>
        <w:t xml:space="preserve">, </w:t>
      </w:r>
      <w:r>
        <w:rPr>
          <w:rFonts w:ascii="Arial" w:eastAsia="Arial" w:hAnsi="Arial" w:cs="Arial"/>
        </w:rPr>
        <w:t>κτηνοτροφία</w:t>
      </w:r>
      <w:r w:rsidR="00D706D2" w:rsidRPr="0088692C">
        <w:rPr>
          <w:rFonts w:ascii="Arial" w:eastAsia="Arial" w:hAnsi="Arial" w:cs="Arial"/>
        </w:rPr>
        <w:t>, και ι</w:t>
      </w:r>
      <w:r>
        <w:rPr>
          <w:rFonts w:ascii="Arial" w:eastAsia="Arial" w:hAnsi="Arial" w:cs="Arial"/>
        </w:rPr>
        <w:t>διοκτησίες</w:t>
      </w:r>
      <w:r w:rsidR="00D706D2" w:rsidRPr="0088692C">
        <w:rPr>
          <w:rFonts w:ascii="Arial" w:eastAsia="Arial" w:hAnsi="Arial" w:cs="Arial"/>
        </w:rPr>
        <w:t xml:space="preserve"> άλλης μορφής</w:t>
      </w:r>
    </w:p>
    <w:p w14:paraId="1AF2DEF2" w14:textId="77777777" w:rsidR="00277ED5" w:rsidRPr="0088692C" w:rsidRDefault="00277ED5" w:rsidP="0088692C">
      <w:pPr>
        <w:pStyle w:val="ListParagraph"/>
        <w:numPr>
          <w:ilvl w:val="0"/>
          <w:numId w:val="5"/>
        </w:numPr>
        <w:jc w:val="both"/>
        <w:rPr>
          <w:rFonts w:ascii="Arial" w:eastAsia="Arial" w:hAnsi="Arial" w:cs="Arial"/>
        </w:rPr>
      </w:pPr>
      <w:r w:rsidRPr="0088692C">
        <w:rPr>
          <w:rFonts w:ascii="Arial" w:eastAsia="Arial" w:hAnsi="Arial" w:cs="Arial"/>
        </w:rPr>
        <w:t>Για λόγους δημόσιας υγείας και ασφάλειας</w:t>
      </w:r>
      <w:r w:rsidR="00D706D2" w:rsidRPr="0088692C">
        <w:rPr>
          <w:rFonts w:ascii="Arial" w:eastAsia="Arial" w:hAnsi="Arial" w:cs="Arial"/>
        </w:rPr>
        <w:t xml:space="preserve"> και για άλλους επιτακτικούς λόγους προέχοντος δημοσίου συμφέροντος</w:t>
      </w:r>
    </w:p>
    <w:p w14:paraId="725FB72A" w14:textId="77777777" w:rsidR="00D706D2" w:rsidRPr="0088692C" w:rsidRDefault="005D2D90" w:rsidP="0088692C">
      <w:pPr>
        <w:jc w:val="both"/>
        <w:rPr>
          <w:rFonts w:ascii="Arial" w:eastAsia="Arial" w:hAnsi="Arial" w:cs="Arial"/>
        </w:rPr>
      </w:pPr>
      <w:r w:rsidRPr="0088692C">
        <w:rPr>
          <w:rFonts w:ascii="Arial" w:eastAsia="Arial" w:hAnsi="Arial" w:cs="Arial"/>
        </w:rPr>
        <w:t xml:space="preserve">Ωστόσο, καμία παρέκκλιση </w:t>
      </w:r>
      <w:r w:rsidR="00D706D2" w:rsidRPr="0088692C">
        <w:rPr>
          <w:rFonts w:ascii="Arial" w:eastAsia="Arial" w:hAnsi="Arial" w:cs="Arial"/>
        </w:rPr>
        <w:t xml:space="preserve">δεν </w:t>
      </w:r>
      <w:r w:rsidRPr="0088692C">
        <w:rPr>
          <w:rFonts w:ascii="Arial" w:eastAsia="Arial" w:hAnsi="Arial" w:cs="Arial"/>
        </w:rPr>
        <w:t>πρέπει</w:t>
      </w:r>
      <w:r w:rsidR="00D706D2" w:rsidRPr="0088692C">
        <w:rPr>
          <w:rFonts w:ascii="Arial" w:eastAsia="Arial" w:hAnsi="Arial" w:cs="Arial"/>
        </w:rPr>
        <w:t xml:space="preserve"> να βλάπτει την επίτευξη</w:t>
      </w:r>
      <w:r w:rsidRPr="0088692C">
        <w:rPr>
          <w:rFonts w:ascii="Arial" w:eastAsia="Arial" w:hAnsi="Arial" w:cs="Arial"/>
        </w:rPr>
        <w:t xml:space="preserve"> ικανοποιητικής κατάστασης διατήρησης!</w:t>
      </w:r>
    </w:p>
    <w:p w14:paraId="5D02AA83" w14:textId="77777777" w:rsidR="005D2D90" w:rsidRPr="00917C82" w:rsidRDefault="005D2D90" w:rsidP="0088692C">
      <w:pPr>
        <w:pStyle w:val="NormalWeb"/>
        <w:jc w:val="both"/>
        <w:rPr>
          <w:rFonts w:ascii="Arial" w:eastAsia="Arial" w:hAnsi="Arial" w:cs="Arial"/>
          <w:b/>
          <w:bCs/>
          <w:sz w:val="22"/>
          <w:szCs w:val="22"/>
          <w:highlight w:val="yellow"/>
          <w:lang w:val="el-GR"/>
        </w:rPr>
      </w:pPr>
      <w:r w:rsidRPr="00917C82">
        <w:rPr>
          <w:rFonts w:ascii="Arial" w:eastAsia="Arial" w:hAnsi="Arial" w:cs="Arial"/>
          <w:b/>
          <w:bCs/>
          <w:sz w:val="22"/>
          <w:szCs w:val="22"/>
          <w:highlight w:val="yellow"/>
          <w:lang w:val="el-GR"/>
        </w:rPr>
        <w:t>Ποιες είναι οι συνέπειες της υποβάθμισης του καθεστώτος προστασίας του λύκου από «αυστηρά προστατευόμενο» σε «προστατευόμενο»;</w:t>
      </w:r>
    </w:p>
    <w:p w14:paraId="4A543EED" w14:textId="40D2A407" w:rsidR="005D2D90" w:rsidRPr="0088692C" w:rsidRDefault="005D2D90"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Η τροπολογία της Οδηγίας για τους Οικοτόπους που υιοθετήθηκε από τα θεσμικά όργανα της ΕΕ την άνοιξη του 2025, μετέφερε τον λύκο από το παράρτημα </w:t>
      </w:r>
      <w:r w:rsidRPr="0088692C">
        <w:rPr>
          <w:rFonts w:ascii="Arial" w:hAnsi="Arial" w:cs="Arial"/>
          <w:sz w:val="22"/>
          <w:szCs w:val="22"/>
        </w:rPr>
        <w:t>IV</w:t>
      </w:r>
      <w:r w:rsidRPr="0088692C">
        <w:rPr>
          <w:rFonts w:ascii="Arial" w:hAnsi="Arial" w:cs="Arial"/>
          <w:sz w:val="22"/>
          <w:szCs w:val="22"/>
          <w:lang w:val="el-GR"/>
        </w:rPr>
        <w:t xml:space="preserve"> στο παράρτημα </w:t>
      </w:r>
      <w:r w:rsidRPr="0088692C">
        <w:rPr>
          <w:rFonts w:ascii="Arial" w:hAnsi="Arial" w:cs="Arial"/>
          <w:sz w:val="22"/>
          <w:szCs w:val="22"/>
        </w:rPr>
        <w:t>V</w:t>
      </w:r>
      <w:r w:rsidRPr="0088692C">
        <w:rPr>
          <w:rFonts w:ascii="Arial" w:hAnsi="Arial" w:cs="Arial"/>
          <w:sz w:val="22"/>
          <w:szCs w:val="22"/>
          <w:lang w:val="el-GR"/>
        </w:rPr>
        <w:t xml:space="preserve"> της </w:t>
      </w:r>
      <w:r w:rsidR="0088692C">
        <w:rPr>
          <w:rFonts w:ascii="Arial" w:hAnsi="Arial" w:cs="Arial"/>
          <w:sz w:val="22"/>
          <w:szCs w:val="22"/>
          <w:lang w:val="el-GR"/>
        </w:rPr>
        <w:t>Ο</w:t>
      </w:r>
      <w:r w:rsidRPr="0088692C">
        <w:rPr>
          <w:rFonts w:ascii="Arial" w:hAnsi="Arial" w:cs="Arial"/>
          <w:sz w:val="22"/>
          <w:szCs w:val="22"/>
          <w:lang w:val="el-GR"/>
        </w:rPr>
        <w:t xml:space="preserve">δηγίας. Σε αντίθεση με τα είδη που αναφέρονται στο παράρτημα </w:t>
      </w:r>
      <w:r w:rsidRPr="0088692C">
        <w:rPr>
          <w:rFonts w:ascii="Arial" w:hAnsi="Arial" w:cs="Arial"/>
          <w:sz w:val="22"/>
          <w:szCs w:val="22"/>
        </w:rPr>
        <w:t>IV</w:t>
      </w:r>
      <w:r w:rsidRPr="0088692C">
        <w:rPr>
          <w:rFonts w:ascii="Arial" w:hAnsi="Arial" w:cs="Arial"/>
          <w:sz w:val="22"/>
          <w:szCs w:val="22"/>
          <w:lang w:val="el-GR"/>
        </w:rPr>
        <w:t xml:space="preserve">, τα οποία είναι «αυστηρά προστατευόμενα», τα είδη που αναφέρονται στο παράρτημα </w:t>
      </w:r>
      <w:r w:rsidRPr="0088692C">
        <w:rPr>
          <w:rFonts w:ascii="Arial" w:hAnsi="Arial" w:cs="Arial"/>
          <w:sz w:val="22"/>
          <w:szCs w:val="22"/>
        </w:rPr>
        <w:t>V</w:t>
      </w:r>
      <w:r w:rsidRPr="0088692C">
        <w:rPr>
          <w:rFonts w:ascii="Arial" w:hAnsi="Arial" w:cs="Arial"/>
          <w:sz w:val="22"/>
          <w:szCs w:val="22"/>
          <w:lang w:val="el-GR"/>
        </w:rPr>
        <w:t xml:space="preserve"> είναι απλώς «προστατευόμενα».</w:t>
      </w:r>
    </w:p>
    <w:p w14:paraId="1CFEF40C" w14:textId="77777777" w:rsidR="005D2D90" w:rsidRPr="0088692C" w:rsidRDefault="005D2D90"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Για τα είδη του παραρτήματος </w:t>
      </w:r>
      <w:r w:rsidRPr="0088692C">
        <w:rPr>
          <w:rFonts w:ascii="Arial" w:hAnsi="Arial" w:cs="Arial"/>
          <w:sz w:val="22"/>
          <w:szCs w:val="22"/>
        </w:rPr>
        <w:t>V</w:t>
      </w:r>
      <w:r w:rsidRPr="0088692C">
        <w:rPr>
          <w:rFonts w:ascii="Arial" w:hAnsi="Arial" w:cs="Arial"/>
          <w:sz w:val="22"/>
          <w:szCs w:val="22"/>
          <w:lang w:val="el-GR"/>
        </w:rPr>
        <w:t>, εφαρμόζεται το άρθρο 14 της Οδηγίας για τους Οικοτόπους. Αυτό σημαίνει τα εξής:</w:t>
      </w:r>
    </w:p>
    <w:p w14:paraId="7BE5440D" w14:textId="62A234E3" w:rsidR="005D2D90" w:rsidRPr="0088692C" w:rsidRDefault="005D2D90"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Εάν κριθεί απαραίτητο με βάση τα δεδομένα, τα κράτη μέλη λαμβάνουν μέτρα για να διασφαλίσουν ότι η σύλληψη, η εκμετάλλευση ή η θανάτωση λύκων είναι συμβατή με τη διατήρηση της ικανοποιητικής κατάστασης διατήρησής τους. </w:t>
      </w:r>
    </w:p>
    <w:p w14:paraId="2570A2CE" w14:textId="3CD61B5B" w:rsidR="005D2D90" w:rsidRPr="0088692C" w:rsidRDefault="005D2D90" w:rsidP="0088692C">
      <w:pPr>
        <w:pStyle w:val="NormalWeb"/>
        <w:jc w:val="both"/>
        <w:rPr>
          <w:rFonts w:ascii="Arial" w:hAnsi="Arial" w:cs="Arial"/>
          <w:sz w:val="22"/>
          <w:szCs w:val="22"/>
          <w:lang w:val="el-GR"/>
        </w:rPr>
      </w:pPr>
      <w:r w:rsidRPr="0088692C">
        <w:rPr>
          <w:rFonts w:ascii="Arial" w:hAnsi="Arial" w:cs="Arial"/>
          <w:sz w:val="22"/>
          <w:szCs w:val="22"/>
          <w:lang w:val="el-GR"/>
        </w:rPr>
        <w:t>Τα μέτρα αυτά μπορούν να περιλαμβάνουν, για παράδειγμα:</w:t>
      </w:r>
    </w:p>
    <w:p w14:paraId="2F594820" w14:textId="77777777" w:rsidR="00AE6087" w:rsidRDefault="005D2D90" w:rsidP="0088692C">
      <w:pPr>
        <w:pStyle w:val="NormalWeb"/>
        <w:numPr>
          <w:ilvl w:val="0"/>
          <w:numId w:val="6"/>
        </w:numPr>
        <w:jc w:val="both"/>
        <w:rPr>
          <w:rFonts w:ascii="Arial" w:hAnsi="Arial" w:cs="Arial"/>
          <w:sz w:val="22"/>
          <w:szCs w:val="22"/>
          <w:lang w:val="el-GR"/>
        </w:rPr>
      </w:pPr>
      <w:r w:rsidRPr="0088692C">
        <w:rPr>
          <w:rFonts w:ascii="Arial" w:hAnsi="Arial" w:cs="Arial"/>
          <w:sz w:val="22"/>
          <w:szCs w:val="22"/>
          <w:lang w:val="el-GR"/>
        </w:rPr>
        <w:lastRenderedPageBreak/>
        <w:t xml:space="preserve">Προσωρινή ή τοπική απαγόρευση </w:t>
      </w:r>
      <w:r w:rsidR="007E7F3F" w:rsidRPr="0088692C">
        <w:rPr>
          <w:rFonts w:ascii="Arial" w:hAnsi="Arial" w:cs="Arial"/>
          <w:sz w:val="22"/>
          <w:szCs w:val="22"/>
          <w:lang w:val="el-GR"/>
        </w:rPr>
        <w:t>της λήψης</w:t>
      </w:r>
      <w:r w:rsidRPr="0088692C">
        <w:rPr>
          <w:rFonts w:ascii="Arial" w:hAnsi="Arial" w:cs="Arial"/>
          <w:sz w:val="22"/>
          <w:szCs w:val="22"/>
          <w:lang w:val="el-GR"/>
        </w:rPr>
        <w:t xml:space="preserve"> </w:t>
      </w:r>
      <w:r w:rsidR="007E7F3F" w:rsidRPr="0088692C">
        <w:rPr>
          <w:rFonts w:ascii="Arial" w:hAnsi="Arial" w:cs="Arial"/>
          <w:sz w:val="22"/>
          <w:szCs w:val="22"/>
          <w:lang w:val="el-GR"/>
        </w:rPr>
        <w:t>δειγμάτων από το φυσικό περιβάλλον και της εκμετάλλευσης ορισμένων πληθυσμών</w:t>
      </w:r>
    </w:p>
    <w:p w14:paraId="0669AE01" w14:textId="77777777" w:rsidR="00AE6087" w:rsidRDefault="007E7F3F" w:rsidP="0088692C">
      <w:pPr>
        <w:pStyle w:val="NormalWeb"/>
        <w:numPr>
          <w:ilvl w:val="0"/>
          <w:numId w:val="6"/>
        </w:numPr>
        <w:jc w:val="both"/>
        <w:rPr>
          <w:rFonts w:ascii="Arial" w:hAnsi="Arial" w:cs="Arial"/>
          <w:sz w:val="22"/>
          <w:szCs w:val="22"/>
          <w:lang w:val="el-GR"/>
        </w:rPr>
      </w:pPr>
      <w:r w:rsidRPr="00AE6087">
        <w:rPr>
          <w:rFonts w:ascii="Arial" w:hAnsi="Arial" w:cs="Arial"/>
          <w:sz w:val="22"/>
          <w:szCs w:val="22"/>
          <w:lang w:val="el-GR"/>
        </w:rPr>
        <w:t>Υπαγωγή σε κυνηγετικούς κανόνες π</w:t>
      </w:r>
      <w:r w:rsidR="005D2D90" w:rsidRPr="00AE6087">
        <w:rPr>
          <w:rFonts w:ascii="Arial" w:hAnsi="Arial" w:cs="Arial"/>
          <w:sz w:val="22"/>
          <w:szCs w:val="22"/>
          <w:lang w:val="el-GR"/>
        </w:rPr>
        <w:t>ου λαμβάνουν υπόψη τη διατήρηση των πληθυσμών αυτών</w:t>
      </w:r>
    </w:p>
    <w:p w14:paraId="0FBB6B3B" w14:textId="5B2DC84A" w:rsidR="005D2D90" w:rsidRPr="00AE6087" w:rsidRDefault="007E7F3F" w:rsidP="0088692C">
      <w:pPr>
        <w:pStyle w:val="NormalWeb"/>
        <w:numPr>
          <w:ilvl w:val="0"/>
          <w:numId w:val="6"/>
        </w:numPr>
        <w:jc w:val="both"/>
        <w:rPr>
          <w:rFonts w:ascii="Arial" w:hAnsi="Arial" w:cs="Arial"/>
          <w:sz w:val="22"/>
          <w:szCs w:val="22"/>
          <w:lang w:val="el-GR"/>
        </w:rPr>
      </w:pPr>
      <w:r w:rsidRPr="00AE6087">
        <w:rPr>
          <w:rFonts w:ascii="Arial" w:hAnsi="Arial" w:cs="Arial"/>
          <w:sz w:val="22"/>
          <w:szCs w:val="22"/>
          <w:lang w:val="el-GR"/>
        </w:rPr>
        <w:t>Θέσπιση ενός συστήματος αδειών για τη λήψη δειγμάτων ή ποσοστώσεων</w:t>
      </w:r>
      <w:r w:rsidR="004E72AA" w:rsidRPr="00AE6087">
        <w:rPr>
          <w:rFonts w:ascii="Arial" w:hAnsi="Arial" w:cs="Arial"/>
          <w:sz w:val="22"/>
          <w:szCs w:val="22"/>
          <w:lang w:val="el-GR"/>
        </w:rPr>
        <w:t xml:space="preserve"> (</w:t>
      </w:r>
      <w:r w:rsidR="004E72AA" w:rsidRPr="00AE6087">
        <w:rPr>
          <w:rFonts w:ascii="Arial" w:hAnsi="Arial" w:cs="Arial"/>
          <w:sz w:val="22"/>
          <w:szCs w:val="22"/>
        </w:rPr>
        <w:t>quotas</w:t>
      </w:r>
      <w:r w:rsidR="004E72AA" w:rsidRPr="00AE6087">
        <w:rPr>
          <w:rFonts w:ascii="Arial" w:hAnsi="Arial" w:cs="Arial"/>
          <w:sz w:val="22"/>
          <w:szCs w:val="22"/>
          <w:lang w:val="el-GR"/>
        </w:rPr>
        <w:t>)</w:t>
      </w:r>
    </w:p>
    <w:p w14:paraId="240D6BA2" w14:textId="77777777" w:rsidR="005D2D90" w:rsidRPr="0088692C" w:rsidRDefault="005D2D90"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Στην πράξη, αυτό σημαίνει ότι δεν απαιτείται πλέον εξαίρεση ή παρέκκλιση για τη θανάτωση ενός λύκου. Αντ' αυτού, οι λύκοι μπορούν να κυνηγούνται με άδεια </w:t>
      </w:r>
      <w:r w:rsidR="007E7F3F" w:rsidRPr="0088692C">
        <w:rPr>
          <w:rFonts w:ascii="Arial" w:hAnsi="Arial" w:cs="Arial"/>
          <w:sz w:val="22"/>
          <w:szCs w:val="22"/>
          <w:lang w:val="el-GR"/>
        </w:rPr>
        <w:t>θήρας</w:t>
      </w:r>
      <w:r w:rsidRPr="0088692C">
        <w:rPr>
          <w:rFonts w:ascii="Arial" w:hAnsi="Arial" w:cs="Arial"/>
          <w:sz w:val="22"/>
          <w:szCs w:val="22"/>
          <w:lang w:val="el-GR"/>
        </w:rPr>
        <w:t xml:space="preserve">, </w:t>
      </w:r>
      <w:r w:rsidR="007E7F3F" w:rsidRPr="0088692C">
        <w:rPr>
          <w:rFonts w:ascii="Arial" w:hAnsi="Arial" w:cs="Arial"/>
          <w:sz w:val="22"/>
          <w:szCs w:val="22"/>
          <w:lang w:val="el-GR"/>
        </w:rPr>
        <w:t>σε</w:t>
      </w:r>
      <w:r w:rsidRPr="0088692C">
        <w:rPr>
          <w:rFonts w:ascii="Arial" w:hAnsi="Arial" w:cs="Arial"/>
          <w:sz w:val="22"/>
          <w:szCs w:val="22"/>
          <w:lang w:val="el-GR"/>
        </w:rPr>
        <w:t xml:space="preserve"> καθορισμένη κυνηγετική περίοδο, λαμβάνοντας υπόψη τη διατήρηση των πληθυσμών. </w:t>
      </w:r>
    </w:p>
    <w:p w14:paraId="31E6FE58" w14:textId="77777777" w:rsidR="00C15482" w:rsidRPr="0088692C" w:rsidRDefault="00C15482" w:rsidP="0088692C">
      <w:pPr>
        <w:pStyle w:val="NormalWeb"/>
        <w:jc w:val="both"/>
        <w:rPr>
          <w:rFonts w:ascii="Arial" w:eastAsia="Arial" w:hAnsi="Arial" w:cs="Arial"/>
          <w:b/>
          <w:bCs/>
          <w:sz w:val="22"/>
          <w:szCs w:val="22"/>
          <w:highlight w:val="yellow"/>
          <w:lang w:val="el-GR"/>
        </w:rPr>
      </w:pPr>
      <w:r w:rsidRPr="0088692C">
        <w:rPr>
          <w:rFonts w:ascii="Arial" w:eastAsia="Arial" w:hAnsi="Arial" w:cs="Arial"/>
          <w:b/>
          <w:bCs/>
          <w:sz w:val="22"/>
          <w:szCs w:val="22"/>
          <w:highlight w:val="yellow"/>
          <w:lang w:val="el-GR"/>
        </w:rPr>
        <w:t>Αυτό επηρεάζει την υποχρέωση επίτευξης ή διατήρησης ικανοποιητικής κατάστασης διατήρησης;</w:t>
      </w:r>
    </w:p>
    <w:p w14:paraId="05B83D4E" w14:textId="77777777" w:rsidR="00C15482" w:rsidRPr="0088692C" w:rsidRDefault="00C15482" w:rsidP="0088692C">
      <w:pPr>
        <w:pStyle w:val="NormalWeb"/>
        <w:jc w:val="both"/>
        <w:rPr>
          <w:rFonts w:ascii="Arial" w:hAnsi="Arial" w:cs="Arial"/>
          <w:sz w:val="22"/>
          <w:szCs w:val="22"/>
          <w:lang w:val="el-GR"/>
        </w:rPr>
      </w:pPr>
      <w:r w:rsidRPr="0088692C">
        <w:rPr>
          <w:rFonts w:ascii="Arial" w:hAnsi="Arial" w:cs="Arial"/>
          <w:sz w:val="22"/>
          <w:szCs w:val="22"/>
          <w:lang w:val="el-GR"/>
        </w:rPr>
        <w:t>Τα κράτη μέλη της ΕΕ οφείλουν να συνεχίσουν να παρακολουθούν την εξέλιξη του πληθυσμού του λύκου και να διασφαλίζουν ότι το κυνήγι λύκων δεν έρχεται σε σύγκρουση με τη διατήρηση ή την επίτευξη ικανοποιητικής κατάστασης διατήρησης.</w:t>
      </w:r>
    </w:p>
    <w:p w14:paraId="081489D1" w14:textId="77777777" w:rsidR="00C15482" w:rsidRPr="0088692C" w:rsidRDefault="00C15482"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Τα κράτη μέλη πρέπει επίσης να υποβάλλουν έκθεση στην Επιτροπή κάθε έξι έτη. Η τελευταία έκθεση έπρεπε να υποβληθεί τον Ιούλιο του 2025 και η επόμενη έχει προγραμματιστεί για τον Ιούλιο του 2031. Εάν από την έκθεση προκύψει ότι το είδος δεν βρίσκεται σε ικανοποιητική κατάσταση διατήρησης στο Κράτος-Μέλος, το κυνήγι δεν μπορεί να επιτραπεί, εκτός εάν ισχύει παρέκκλιση, όπως ήταν δυνατό </w:t>
      </w:r>
      <w:r w:rsidR="008A6A18" w:rsidRPr="0088692C">
        <w:rPr>
          <w:rFonts w:ascii="Arial" w:hAnsi="Arial" w:cs="Arial"/>
          <w:sz w:val="22"/>
          <w:szCs w:val="22"/>
          <w:lang w:val="el-GR"/>
        </w:rPr>
        <w:t xml:space="preserve">και </w:t>
      </w:r>
      <w:r w:rsidRPr="0088692C">
        <w:rPr>
          <w:rFonts w:ascii="Arial" w:hAnsi="Arial" w:cs="Arial"/>
          <w:sz w:val="22"/>
          <w:szCs w:val="22"/>
          <w:lang w:val="el-GR"/>
        </w:rPr>
        <w:t>στο παρελθόν, όταν ο λύκος ήταν αυστηρά προστατευόμενος.</w:t>
      </w:r>
    </w:p>
    <w:p w14:paraId="16F7DE69" w14:textId="77777777" w:rsidR="008A6A18" w:rsidRPr="0088692C" w:rsidRDefault="008A6A18"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Η Επιτροπή επιβεβαίωσε τη δυνατότητα των κρατών-μελών να διατηρήσουν αυστηρότερο καθεστώς προστασίας του λύκου σε </w:t>
      </w:r>
      <w:r w:rsidR="00000000">
        <w:fldChar w:fldCharType="begin"/>
      </w:r>
      <w:r w:rsidR="00000000">
        <w:instrText>HYPERLINK</w:instrText>
      </w:r>
      <w:r w:rsidR="00000000" w:rsidRPr="00CD3CE5">
        <w:rPr>
          <w:lang w:val="el-GR"/>
          <w:rPrChange w:id="0" w:author="Ιάσων Μπάντιος" w:date="2025-12-18T09:22:00Z">
            <w:rPr/>
          </w:rPrChange>
        </w:rPr>
        <w:instrText xml:space="preserve"> "</w:instrText>
      </w:r>
      <w:r w:rsidR="00000000">
        <w:instrText>https</w:instrText>
      </w:r>
      <w:r w:rsidR="00000000" w:rsidRPr="00CD3CE5">
        <w:rPr>
          <w:lang w:val="el-GR"/>
          <w:rPrChange w:id="1" w:author="Ιάσων Μπάντιος" w:date="2025-12-18T09:22:00Z">
            <w:rPr/>
          </w:rPrChange>
        </w:rPr>
        <w:instrText>://</w:instrText>
      </w:r>
      <w:r w:rsidR="00000000">
        <w:instrText>data</w:instrText>
      </w:r>
      <w:r w:rsidR="00000000" w:rsidRPr="00CD3CE5">
        <w:rPr>
          <w:lang w:val="el-GR"/>
          <w:rPrChange w:id="2" w:author="Ιάσων Μπάντιος" w:date="2025-12-18T09:22:00Z">
            <w:rPr/>
          </w:rPrChange>
        </w:rPr>
        <w:instrText>.</w:instrText>
      </w:r>
      <w:r w:rsidR="00000000">
        <w:instrText>consilium</w:instrText>
      </w:r>
      <w:r w:rsidR="00000000" w:rsidRPr="00CD3CE5">
        <w:rPr>
          <w:lang w:val="el-GR"/>
          <w:rPrChange w:id="3" w:author="Ιάσων Μπάντιος" w:date="2025-12-18T09:22:00Z">
            <w:rPr/>
          </w:rPrChange>
        </w:rPr>
        <w:instrText>.</w:instrText>
      </w:r>
      <w:r w:rsidR="00000000">
        <w:instrText>europa</w:instrText>
      </w:r>
      <w:r w:rsidR="00000000" w:rsidRPr="00CD3CE5">
        <w:rPr>
          <w:lang w:val="el-GR"/>
          <w:rPrChange w:id="4" w:author="Ιάσων Μπάντιος" w:date="2025-12-18T09:22:00Z">
            <w:rPr/>
          </w:rPrChange>
        </w:rPr>
        <w:instrText>.</w:instrText>
      </w:r>
      <w:r w:rsidR="00000000">
        <w:instrText>eu</w:instrText>
      </w:r>
      <w:r w:rsidR="00000000" w:rsidRPr="00CD3CE5">
        <w:rPr>
          <w:lang w:val="el-GR"/>
          <w:rPrChange w:id="5" w:author="Ιάσων Μπάντιος" w:date="2025-12-18T09:22:00Z">
            <w:rPr/>
          </w:rPrChange>
        </w:rPr>
        <w:instrText>/</w:instrText>
      </w:r>
      <w:r w:rsidR="00000000">
        <w:instrText>doc</w:instrText>
      </w:r>
      <w:r w:rsidR="00000000" w:rsidRPr="00CD3CE5">
        <w:rPr>
          <w:lang w:val="el-GR"/>
          <w:rPrChange w:id="6" w:author="Ιάσων Μπάντιος" w:date="2025-12-18T09:22:00Z">
            <w:rPr/>
          </w:rPrChange>
        </w:rPr>
        <w:instrText>/</w:instrText>
      </w:r>
      <w:r w:rsidR="00000000">
        <w:instrText>document</w:instrText>
      </w:r>
      <w:r w:rsidR="00000000" w:rsidRPr="00CD3CE5">
        <w:rPr>
          <w:lang w:val="el-GR"/>
          <w:rPrChange w:id="7" w:author="Ιάσων Μπάντιος" w:date="2025-12-18T09:22:00Z">
            <w:rPr/>
          </w:rPrChange>
        </w:rPr>
        <w:instrText>/</w:instrText>
      </w:r>
      <w:r w:rsidR="00000000">
        <w:instrText>ST</w:instrText>
      </w:r>
      <w:r w:rsidR="00000000" w:rsidRPr="00CD3CE5">
        <w:rPr>
          <w:lang w:val="el-GR"/>
          <w:rPrChange w:id="8" w:author="Ιάσων Μπάντιος" w:date="2025-12-18T09:22:00Z">
            <w:rPr/>
          </w:rPrChange>
        </w:rPr>
        <w:instrText>-8070-2025-</w:instrText>
      </w:r>
      <w:r w:rsidR="00000000">
        <w:instrText>INIT</w:instrText>
      </w:r>
      <w:r w:rsidR="00000000" w:rsidRPr="00CD3CE5">
        <w:rPr>
          <w:lang w:val="el-GR"/>
          <w:rPrChange w:id="9" w:author="Ιάσων Μπάντιος" w:date="2025-12-18T09:22:00Z">
            <w:rPr/>
          </w:rPrChange>
        </w:rPr>
        <w:instrText>/</w:instrText>
      </w:r>
      <w:r w:rsidR="00000000">
        <w:instrText>en</w:instrText>
      </w:r>
      <w:r w:rsidR="00000000" w:rsidRPr="00CD3CE5">
        <w:rPr>
          <w:lang w:val="el-GR"/>
          <w:rPrChange w:id="10" w:author="Ιάσων Μπάντιος" w:date="2025-12-18T09:22:00Z">
            <w:rPr/>
          </w:rPrChange>
        </w:rPr>
        <w:instrText>/</w:instrText>
      </w:r>
      <w:r w:rsidR="00000000">
        <w:instrText>pdf</w:instrText>
      </w:r>
      <w:r w:rsidR="00000000" w:rsidRPr="00CD3CE5">
        <w:rPr>
          <w:lang w:val="el-GR"/>
          <w:rPrChange w:id="11" w:author="Ιάσων Μπάντιος" w:date="2025-12-18T09:22:00Z">
            <w:rPr/>
          </w:rPrChange>
        </w:rPr>
        <w:instrText>"</w:instrText>
      </w:r>
      <w:r w:rsidR="00000000">
        <w:fldChar w:fldCharType="separate"/>
      </w:r>
      <w:r w:rsidRPr="0088692C">
        <w:rPr>
          <w:rStyle w:val="Hyperlink"/>
          <w:rFonts w:ascii="Arial" w:hAnsi="Arial" w:cs="Arial"/>
          <w:sz w:val="22"/>
          <w:szCs w:val="22"/>
          <w:lang w:val="el-GR"/>
        </w:rPr>
        <w:t>δήλωση που έγινε στο Coreper</w:t>
      </w:r>
      <w:r w:rsidR="00000000">
        <w:rPr>
          <w:rStyle w:val="Hyperlink"/>
          <w:rFonts w:ascii="Arial" w:hAnsi="Arial" w:cs="Arial"/>
          <w:sz w:val="22"/>
          <w:szCs w:val="22"/>
          <w:lang w:val="el-GR"/>
        </w:rPr>
        <w:fldChar w:fldCharType="end"/>
      </w:r>
      <w:r w:rsidRPr="0088692C">
        <w:rPr>
          <w:rFonts w:ascii="Arial" w:hAnsi="Arial" w:cs="Arial"/>
          <w:sz w:val="22"/>
          <w:szCs w:val="22"/>
          <w:lang w:val="el-GR"/>
        </w:rPr>
        <w:t xml:space="preserve"> στις 2 Μαΐου 2025, υπό την προϋπόθεση ότι αυτό θα επισημανθεί κατά την κοινοποίηση της ενσωμάτωσης της νομοθεσίας της ΕΕ στην εθνική νομοθεσία. Σύμφωνα με ορισμένες αναφορές των μέσων ενημέρωσης, η Πολωνία, η Πορτογαλία και η Ισπανία είχαν δηλώσει ότι προτίθενται να αξιοποιήσουν την ευκαιρία </w:t>
      </w:r>
      <w:r w:rsidR="00122B8A" w:rsidRPr="0088692C">
        <w:rPr>
          <w:rFonts w:ascii="Arial" w:hAnsi="Arial" w:cs="Arial"/>
          <w:sz w:val="22"/>
          <w:szCs w:val="22"/>
          <w:lang w:val="el-GR"/>
        </w:rPr>
        <w:t xml:space="preserve">αυτή </w:t>
      </w:r>
      <w:r w:rsidRPr="0088692C">
        <w:rPr>
          <w:rFonts w:ascii="Arial" w:hAnsi="Arial" w:cs="Arial"/>
          <w:sz w:val="22"/>
          <w:szCs w:val="22"/>
          <w:lang w:val="el-GR"/>
        </w:rPr>
        <w:t xml:space="preserve">για να διατηρήσουν τον λύκο </w:t>
      </w:r>
      <w:r w:rsidR="00122B8A" w:rsidRPr="0088692C">
        <w:rPr>
          <w:rFonts w:ascii="Arial" w:hAnsi="Arial" w:cs="Arial"/>
          <w:sz w:val="22"/>
          <w:szCs w:val="22"/>
          <w:lang w:val="el-GR"/>
        </w:rPr>
        <w:t>σε καθεστώς αυστηρής προστασίας</w:t>
      </w:r>
      <w:r w:rsidRPr="0088692C">
        <w:rPr>
          <w:rFonts w:ascii="Arial" w:hAnsi="Arial" w:cs="Arial"/>
          <w:sz w:val="22"/>
          <w:szCs w:val="22"/>
          <w:lang w:val="el-GR"/>
        </w:rPr>
        <w:t>.</w:t>
      </w:r>
    </w:p>
    <w:p w14:paraId="3E1C208F" w14:textId="77777777" w:rsidR="00122B8A" w:rsidRPr="0088692C" w:rsidRDefault="00122B8A"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Τον Ιούνιο του 2025, το Ευρωπαϊκό Δικαστήριο εξέδωσε </w:t>
      </w:r>
      <w:r w:rsidR="00000000">
        <w:fldChar w:fldCharType="begin"/>
      </w:r>
      <w:r w:rsidR="00000000">
        <w:instrText>HYPERLINK</w:instrText>
      </w:r>
      <w:r w:rsidR="00000000" w:rsidRPr="00CD3CE5">
        <w:rPr>
          <w:lang w:val="el-GR"/>
          <w:rPrChange w:id="12" w:author="Ιάσων Μπάντιος" w:date="2025-12-18T09:22:00Z">
            <w:rPr/>
          </w:rPrChange>
        </w:rPr>
        <w:instrText xml:space="preserve"> "</w:instrText>
      </w:r>
      <w:r w:rsidR="00000000">
        <w:instrText>https</w:instrText>
      </w:r>
      <w:r w:rsidR="00000000" w:rsidRPr="00CD3CE5">
        <w:rPr>
          <w:lang w:val="el-GR"/>
          <w:rPrChange w:id="13" w:author="Ιάσων Μπάντιος" w:date="2025-12-18T09:22:00Z">
            <w:rPr/>
          </w:rPrChange>
        </w:rPr>
        <w:instrText>://</w:instrText>
      </w:r>
      <w:r w:rsidR="00000000">
        <w:instrText>curia</w:instrText>
      </w:r>
      <w:r w:rsidR="00000000" w:rsidRPr="00CD3CE5">
        <w:rPr>
          <w:lang w:val="el-GR"/>
          <w:rPrChange w:id="14" w:author="Ιάσων Μπάντιος" w:date="2025-12-18T09:22:00Z">
            <w:rPr/>
          </w:rPrChange>
        </w:rPr>
        <w:instrText>.</w:instrText>
      </w:r>
      <w:r w:rsidR="00000000">
        <w:instrText>europa</w:instrText>
      </w:r>
      <w:r w:rsidR="00000000" w:rsidRPr="00CD3CE5">
        <w:rPr>
          <w:lang w:val="el-GR"/>
          <w:rPrChange w:id="15" w:author="Ιάσων Μπάντιος" w:date="2025-12-18T09:22:00Z">
            <w:rPr/>
          </w:rPrChange>
        </w:rPr>
        <w:instrText>.</w:instrText>
      </w:r>
      <w:r w:rsidR="00000000">
        <w:instrText>eu</w:instrText>
      </w:r>
      <w:r w:rsidR="00000000" w:rsidRPr="00CD3CE5">
        <w:rPr>
          <w:lang w:val="el-GR"/>
          <w:rPrChange w:id="16" w:author="Ιάσων Μπάντιος" w:date="2025-12-18T09:22:00Z">
            <w:rPr/>
          </w:rPrChange>
        </w:rPr>
        <w:instrText>/</w:instrText>
      </w:r>
      <w:r w:rsidR="00000000">
        <w:instrText>juris</w:instrText>
      </w:r>
      <w:r w:rsidR="00000000" w:rsidRPr="00CD3CE5">
        <w:rPr>
          <w:lang w:val="el-GR"/>
          <w:rPrChange w:id="17" w:author="Ιάσων Μπάντιος" w:date="2025-12-18T09:22:00Z">
            <w:rPr/>
          </w:rPrChange>
        </w:rPr>
        <w:instrText>/</w:instrText>
      </w:r>
      <w:r w:rsidR="00000000">
        <w:instrText>document</w:instrText>
      </w:r>
      <w:r w:rsidR="00000000" w:rsidRPr="00CD3CE5">
        <w:rPr>
          <w:lang w:val="el-GR"/>
          <w:rPrChange w:id="18" w:author="Ιάσων Μπάντιος" w:date="2025-12-18T09:22:00Z">
            <w:rPr/>
          </w:rPrChange>
        </w:rPr>
        <w:instrText>/</w:instrText>
      </w:r>
      <w:r w:rsidR="00000000">
        <w:instrText>document</w:instrText>
      </w:r>
      <w:r w:rsidR="00000000" w:rsidRPr="00CD3CE5">
        <w:rPr>
          <w:lang w:val="el-GR"/>
          <w:rPrChange w:id="19" w:author="Ιάσων Μπάντιος" w:date="2025-12-18T09:22:00Z">
            <w:rPr/>
          </w:rPrChange>
        </w:rPr>
        <w:instrText>.</w:instrText>
      </w:r>
      <w:r w:rsidR="00000000">
        <w:instrText>jsf</w:instrText>
      </w:r>
      <w:r w:rsidR="00000000" w:rsidRPr="00CD3CE5">
        <w:rPr>
          <w:lang w:val="el-GR"/>
          <w:rPrChange w:id="20" w:author="Ιάσων Μπάντιος" w:date="2025-12-18T09:22:00Z">
            <w:rPr/>
          </w:rPrChange>
        </w:rPr>
        <w:instrText>?</w:instrText>
      </w:r>
      <w:r w:rsidR="00000000">
        <w:instrText>text</w:instrText>
      </w:r>
      <w:r w:rsidR="00000000" w:rsidRPr="00CD3CE5">
        <w:rPr>
          <w:lang w:val="el-GR"/>
          <w:rPrChange w:id="21" w:author="Ιάσων Μπάντιος" w:date="2025-12-18T09:22:00Z">
            <w:rPr/>
          </w:rPrChange>
        </w:rPr>
        <w:instrText>=&amp;</w:instrText>
      </w:r>
      <w:r w:rsidR="00000000">
        <w:instrText>docid</w:instrText>
      </w:r>
      <w:r w:rsidR="00000000" w:rsidRPr="00CD3CE5">
        <w:rPr>
          <w:lang w:val="el-GR"/>
          <w:rPrChange w:id="22" w:author="Ιάσων Μπάντιος" w:date="2025-12-18T09:22:00Z">
            <w:rPr/>
          </w:rPrChange>
        </w:rPr>
        <w:instrText>=301163&amp;</w:instrText>
      </w:r>
      <w:r w:rsidR="00000000">
        <w:instrText>pageIndex</w:instrText>
      </w:r>
      <w:r w:rsidR="00000000" w:rsidRPr="00CD3CE5">
        <w:rPr>
          <w:lang w:val="el-GR"/>
          <w:rPrChange w:id="23" w:author="Ιάσων Μπάντιος" w:date="2025-12-18T09:22:00Z">
            <w:rPr/>
          </w:rPrChange>
        </w:rPr>
        <w:instrText>=0&amp;</w:instrText>
      </w:r>
      <w:r w:rsidR="00000000">
        <w:instrText>doclang</w:instrText>
      </w:r>
      <w:r w:rsidR="00000000" w:rsidRPr="00CD3CE5">
        <w:rPr>
          <w:lang w:val="el-GR"/>
          <w:rPrChange w:id="24" w:author="Ιάσων Μπάντιος" w:date="2025-12-18T09:22:00Z">
            <w:rPr/>
          </w:rPrChange>
        </w:rPr>
        <w:instrText>=</w:instrText>
      </w:r>
      <w:r w:rsidR="00000000">
        <w:instrText>en</w:instrText>
      </w:r>
      <w:r w:rsidR="00000000" w:rsidRPr="00CD3CE5">
        <w:rPr>
          <w:lang w:val="el-GR"/>
          <w:rPrChange w:id="25" w:author="Ιάσων Μπάντιος" w:date="2025-12-18T09:22:00Z">
            <w:rPr/>
          </w:rPrChange>
        </w:rPr>
        <w:instrText>&amp;</w:instrText>
      </w:r>
      <w:r w:rsidR="00000000">
        <w:instrText>mode</w:instrText>
      </w:r>
      <w:r w:rsidR="00000000" w:rsidRPr="00CD3CE5">
        <w:rPr>
          <w:lang w:val="el-GR"/>
          <w:rPrChange w:id="26" w:author="Ιάσων Μπάντιος" w:date="2025-12-18T09:22:00Z">
            <w:rPr/>
          </w:rPrChange>
        </w:rPr>
        <w:instrText>=</w:instrText>
      </w:r>
      <w:r w:rsidR="00000000">
        <w:instrText>lst</w:instrText>
      </w:r>
      <w:r w:rsidR="00000000" w:rsidRPr="00CD3CE5">
        <w:rPr>
          <w:lang w:val="el-GR"/>
          <w:rPrChange w:id="27" w:author="Ιάσων Μπάντιος" w:date="2025-12-18T09:22:00Z">
            <w:rPr/>
          </w:rPrChange>
        </w:rPr>
        <w:instrText>&amp;</w:instrText>
      </w:r>
      <w:r w:rsidR="00000000">
        <w:instrText>dir</w:instrText>
      </w:r>
      <w:r w:rsidR="00000000" w:rsidRPr="00CD3CE5">
        <w:rPr>
          <w:lang w:val="el-GR"/>
          <w:rPrChange w:id="28" w:author="Ιάσων Μπάντιος" w:date="2025-12-18T09:22:00Z">
            <w:rPr/>
          </w:rPrChange>
        </w:rPr>
        <w:instrText>=&amp;</w:instrText>
      </w:r>
      <w:r w:rsidR="00000000">
        <w:instrText>occ</w:instrText>
      </w:r>
      <w:r w:rsidR="00000000" w:rsidRPr="00CD3CE5">
        <w:rPr>
          <w:lang w:val="el-GR"/>
          <w:rPrChange w:id="29" w:author="Ιάσων Μπάντιος" w:date="2025-12-18T09:22:00Z">
            <w:rPr/>
          </w:rPrChange>
        </w:rPr>
        <w:instrText>=</w:instrText>
      </w:r>
      <w:r w:rsidR="00000000">
        <w:instrText>first</w:instrText>
      </w:r>
      <w:r w:rsidR="00000000" w:rsidRPr="00CD3CE5">
        <w:rPr>
          <w:lang w:val="el-GR"/>
          <w:rPrChange w:id="30" w:author="Ιάσων Μπάντιος" w:date="2025-12-18T09:22:00Z">
            <w:rPr/>
          </w:rPrChange>
        </w:rPr>
        <w:instrText>&amp;</w:instrText>
      </w:r>
      <w:r w:rsidR="00000000">
        <w:instrText>part</w:instrText>
      </w:r>
      <w:r w:rsidR="00000000" w:rsidRPr="00CD3CE5">
        <w:rPr>
          <w:lang w:val="el-GR"/>
          <w:rPrChange w:id="31" w:author="Ιάσων Μπάντιος" w:date="2025-12-18T09:22:00Z">
            <w:rPr/>
          </w:rPrChange>
        </w:rPr>
        <w:instrText>=1&amp;</w:instrText>
      </w:r>
      <w:r w:rsidR="00000000">
        <w:instrText>cid</w:instrText>
      </w:r>
      <w:r w:rsidR="00000000" w:rsidRPr="00CD3CE5">
        <w:rPr>
          <w:lang w:val="el-GR"/>
          <w:rPrChange w:id="32" w:author="Ιάσων Μπάντιος" w:date="2025-12-18T09:22:00Z">
            <w:rPr/>
          </w:rPrChange>
        </w:rPr>
        <w:instrText>=875639"</w:instrText>
      </w:r>
      <w:r w:rsidR="00000000">
        <w:fldChar w:fldCharType="separate"/>
      </w:r>
      <w:r w:rsidRPr="0088692C">
        <w:rPr>
          <w:rStyle w:val="Hyperlink"/>
          <w:rFonts w:ascii="Arial" w:hAnsi="Arial" w:cs="Arial"/>
          <w:sz w:val="22"/>
          <w:szCs w:val="22"/>
          <w:lang w:val="el-GR"/>
        </w:rPr>
        <w:t>προδικαστική απόφαση</w:t>
      </w:r>
      <w:r w:rsidR="00000000">
        <w:rPr>
          <w:rStyle w:val="Hyperlink"/>
          <w:rFonts w:ascii="Arial" w:hAnsi="Arial" w:cs="Arial"/>
          <w:sz w:val="22"/>
          <w:szCs w:val="22"/>
          <w:lang w:val="el-GR"/>
        </w:rPr>
        <w:fldChar w:fldCharType="end"/>
      </w:r>
      <w:r w:rsidRPr="0088692C">
        <w:rPr>
          <w:rFonts w:ascii="Arial" w:hAnsi="Arial" w:cs="Arial"/>
          <w:sz w:val="22"/>
          <w:szCs w:val="22"/>
          <w:lang w:val="el-GR"/>
        </w:rPr>
        <w:t xml:space="preserve"> σχετικά με την υπόθεση του Εσθονικού Δικαστηρίου (υπόθεση </w:t>
      </w:r>
      <w:r w:rsidRPr="0088692C">
        <w:rPr>
          <w:rFonts w:ascii="Arial" w:hAnsi="Arial" w:cs="Arial"/>
          <w:sz w:val="22"/>
          <w:szCs w:val="22"/>
        </w:rPr>
        <w:t>C</w:t>
      </w:r>
      <w:r w:rsidRPr="0088692C">
        <w:rPr>
          <w:rFonts w:ascii="Arial" w:hAnsi="Arial" w:cs="Arial"/>
          <w:sz w:val="22"/>
          <w:szCs w:val="22"/>
          <w:lang w:val="el-GR"/>
        </w:rPr>
        <w:t xml:space="preserve">-629/23 </w:t>
      </w:r>
      <w:r w:rsidRPr="0088692C">
        <w:rPr>
          <w:rFonts w:ascii="Arial" w:hAnsi="Arial" w:cs="Arial"/>
          <w:sz w:val="22"/>
          <w:szCs w:val="22"/>
        </w:rPr>
        <w:t>MT</w:t>
      </w:r>
      <w:r w:rsidRPr="0088692C">
        <w:rPr>
          <w:rFonts w:ascii="Arial" w:hAnsi="Arial" w:cs="Arial"/>
          <w:sz w:val="22"/>
          <w:szCs w:val="22"/>
          <w:lang w:val="el-GR"/>
        </w:rPr>
        <w:t xml:space="preserve">Ü </w:t>
      </w:r>
      <w:proofErr w:type="spellStart"/>
      <w:r w:rsidRPr="0088692C">
        <w:rPr>
          <w:rFonts w:ascii="Arial" w:hAnsi="Arial" w:cs="Arial"/>
          <w:sz w:val="22"/>
          <w:szCs w:val="22"/>
        </w:rPr>
        <w:t>Eesti</w:t>
      </w:r>
      <w:proofErr w:type="spellEnd"/>
      <w:r w:rsidRPr="0088692C">
        <w:rPr>
          <w:rFonts w:ascii="Arial" w:hAnsi="Arial" w:cs="Arial"/>
          <w:sz w:val="22"/>
          <w:szCs w:val="22"/>
          <w:lang w:val="el-GR"/>
        </w:rPr>
        <w:t xml:space="preserve"> </w:t>
      </w:r>
      <w:proofErr w:type="spellStart"/>
      <w:r w:rsidRPr="0088692C">
        <w:rPr>
          <w:rFonts w:ascii="Arial" w:hAnsi="Arial" w:cs="Arial"/>
          <w:sz w:val="22"/>
          <w:szCs w:val="22"/>
        </w:rPr>
        <w:t>Suurkiskjad</w:t>
      </w:r>
      <w:proofErr w:type="spellEnd"/>
      <w:r w:rsidRPr="0088692C">
        <w:rPr>
          <w:rFonts w:ascii="Arial" w:hAnsi="Arial" w:cs="Arial"/>
          <w:sz w:val="22"/>
          <w:szCs w:val="22"/>
          <w:lang w:val="el-GR"/>
        </w:rPr>
        <w:t>), η οποία θα μπορούσε να προσφέρει πρόσθετες πληροφορίες σχετικά με (1) τη γεωγραφική κλίμακα στην οποία πρέπει να αξιολογείται η ικανοποιητική κατάσταση διατήρησης και (2) τον ρόλο των κοινωνικοοικονομικών πτυχών στην αξιολόγηση. Το δικαστήριο έκρινε ότι:</w:t>
      </w:r>
    </w:p>
    <w:p w14:paraId="5819F38D" w14:textId="77777777" w:rsidR="00122B8A" w:rsidRPr="0088692C" w:rsidRDefault="00122B8A"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(1) Η διατήρηση ενός είδους πρέπει να αξιολογείται </w:t>
      </w:r>
      <w:r w:rsidR="00EA38AC" w:rsidRPr="0088692C">
        <w:rPr>
          <w:rFonts w:ascii="Arial" w:hAnsi="Arial" w:cs="Arial"/>
          <w:sz w:val="22"/>
          <w:szCs w:val="22"/>
          <w:lang w:val="el-GR"/>
        </w:rPr>
        <w:t xml:space="preserve">πρωτίστως και υποχρεωτικά </w:t>
      </w:r>
      <w:r w:rsidRPr="0088692C">
        <w:rPr>
          <w:rFonts w:ascii="Arial" w:hAnsi="Arial" w:cs="Arial"/>
          <w:sz w:val="22"/>
          <w:szCs w:val="22"/>
          <w:lang w:val="el-GR"/>
        </w:rPr>
        <w:t xml:space="preserve">σε τοπικό και εθνικό επίπεδο και το είδος πρέπει να είναι σε θέση να εκπληρώνει την οικολογική του λειτουργία εντός της επικράτειάς του. Ωστόσο, διασυνοριακές καταστάσεις στη βιογεωγραφική περιοχή μπορούν να εξεταστούν όταν ο πληθυσμός εκτείνεται πέρα από τα σύνορα. </w:t>
      </w:r>
    </w:p>
    <w:p w14:paraId="76A14DBF" w14:textId="77777777" w:rsidR="00122B8A" w:rsidRPr="0088692C" w:rsidRDefault="00122B8A"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(2) Οι οικονομικές, κοινωνικές και πολιτιστικές απαιτήσεις καθώς και τα περιφερειακά και τοπικά χαρακτηριστικά μπορούν να διαδραματίσουν κάποιο ρόλο, αλλά δεν μπορούν να ληφθούν υπόψη για να καθοριστεί ότι ένα είδος έχει επιτύχει </w:t>
      </w:r>
      <w:r w:rsidR="00EA38AC" w:rsidRPr="0088692C">
        <w:rPr>
          <w:rFonts w:ascii="Arial" w:hAnsi="Arial" w:cs="Arial"/>
          <w:sz w:val="22"/>
          <w:szCs w:val="22"/>
          <w:lang w:val="el-GR"/>
        </w:rPr>
        <w:t>ικανοποιητική</w:t>
      </w:r>
      <w:r w:rsidRPr="0088692C">
        <w:rPr>
          <w:rFonts w:ascii="Arial" w:hAnsi="Arial" w:cs="Arial"/>
          <w:sz w:val="22"/>
          <w:szCs w:val="22"/>
          <w:lang w:val="el-GR"/>
        </w:rPr>
        <w:t xml:space="preserve"> κατάσταση διατήρησης.</w:t>
      </w:r>
    </w:p>
    <w:p w14:paraId="25309D50" w14:textId="2D67843F" w:rsidR="00EA38AC" w:rsidRPr="0088692C" w:rsidRDefault="00EA38AC" w:rsidP="0088692C">
      <w:pPr>
        <w:pStyle w:val="NormalWeb"/>
        <w:jc w:val="both"/>
        <w:rPr>
          <w:rFonts w:ascii="Arial" w:eastAsia="Arial" w:hAnsi="Arial" w:cs="Arial"/>
          <w:b/>
          <w:bCs/>
          <w:sz w:val="22"/>
          <w:szCs w:val="22"/>
          <w:highlight w:val="yellow"/>
          <w:lang w:val="el-GR"/>
        </w:rPr>
      </w:pPr>
      <w:r w:rsidRPr="0088692C">
        <w:rPr>
          <w:rFonts w:ascii="Arial" w:eastAsia="Arial" w:hAnsi="Arial" w:cs="Arial"/>
          <w:b/>
          <w:bCs/>
          <w:sz w:val="22"/>
          <w:szCs w:val="22"/>
          <w:highlight w:val="yellow"/>
          <w:lang w:val="el-GR"/>
        </w:rPr>
        <w:t xml:space="preserve">Η </w:t>
      </w:r>
      <w:r w:rsidR="00AE6087">
        <w:rPr>
          <w:rFonts w:ascii="Arial" w:eastAsia="Arial" w:hAnsi="Arial" w:cs="Arial"/>
          <w:b/>
          <w:bCs/>
          <w:sz w:val="22"/>
          <w:szCs w:val="22"/>
          <w:highlight w:val="yellow"/>
          <w:lang w:val="el-GR"/>
        </w:rPr>
        <w:t>υποβάθμιση</w:t>
      </w:r>
      <w:r w:rsidRPr="0088692C">
        <w:rPr>
          <w:rFonts w:ascii="Arial" w:eastAsia="Arial" w:hAnsi="Arial" w:cs="Arial"/>
          <w:b/>
          <w:bCs/>
          <w:sz w:val="22"/>
          <w:szCs w:val="22"/>
          <w:highlight w:val="yellow"/>
          <w:lang w:val="el-GR"/>
        </w:rPr>
        <w:t xml:space="preserve"> του καθεστώτος προστασίας του λύκου θα επηρεάσει τη διαθέσιμη χρηματοδότηση για τη συνύπαρξη ανθρώπου-λύκου; </w:t>
      </w:r>
    </w:p>
    <w:p w14:paraId="550FC287" w14:textId="15534EBC" w:rsidR="002278BC" w:rsidRPr="0088692C" w:rsidRDefault="00EA38AC" w:rsidP="0088692C">
      <w:pPr>
        <w:pStyle w:val="NormalWeb"/>
        <w:jc w:val="both"/>
        <w:rPr>
          <w:rFonts w:ascii="Arial" w:hAnsi="Arial" w:cs="Arial"/>
          <w:sz w:val="22"/>
          <w:szCs w:val="22"/>
          <w:lang w:val="el-GR"/>
        </w:rPr>
      </w:pPr>
      <w:r w:rsidRPr="0088692C">
        <w:rPr>
          <w:rFonts w:ascii="Arial" w:hAnsi="Arial" w:cs="Arial"/>
          <w:sz w:val="22"/>
          <w:szCs w:val="22"/>
          <w:lang w:val="el-GR"/>
        </w:rPr>
        <w:t>Θα εξακολουθήσει να είναι δυνατή η διάθεση ευρωπαϊκών κονδυλίων, για παράδειγμα από την Κ</w:t>
      </w:r>
      <w:r w:rsidR="00AE6087">
        <w:rPr>
          <w:rFonts w:ascii="Arial" w:hAnsi="Arial" w:cs="Arial"/>
          <w:sz w:val="22"/>
          <w:szCs w:val="22"/>
          <w:lang w:val="el-GR"/>
        </w:rPr>
        <w:t>οινή Αγροτική Πολιτική</w:t>
      </w:r>
      <w:r w:rsidRPr="0088692C">
        <w:rPr>
          <w:rFonts w:ascii="Arial" w:hAnsi="Arial" w:cs="Arial"/>
          <w:sz w:val="22"/>
          <w:szCs w:val="22"/>
          <w:lang w:val="el-GR"/>
        </w:rPr>
        <w:t xml:space="preserve"> ή το </w:t>
      </w:r>
      <w:r w:rsidRPr="0088692C">
        <w:rPr>
          <w:rFonts w:ascii="Arial" w:hAnsi="Arial" w:cs="Arial"/>
          <w:sz w:val="22"/>
          <w:szCs w:val="22"/>
        </w:rPr>
        <w:t>LIFE</w:t>
      </w:r>
      <w:r w:rsidRPr="0088692C">
        <w:rPr>
          <w:rFonts w:ascii="Arial" w:hAnsi="Arial" w:cs="Arial"/>
          <w:sz w:val="22"/>
          <w:szCs w:val="22"/>
          <w:lang w:val="el-GR"/>
        </w:rPr>
        <w:t xml:space="preserve"> κατά την περίοδο 2025-2027, για την ανάπτυξη και την εφαρμογή μέτρων συνύπαρξης. Προτεραιότητα παραμένουν η διατήρηση και η συνύπαρξη, </w:t>
      </w:r>
      <w:r w:rsidRPr="0088692C">
        <w:rPr>
          <w:rFonts w:ascii="Arial" w:hAnsi="Arial" w:cs="Arial"/>
          <w:sz w:val="22"/>
          <w:szCs w:val="22"/>
          <w:lang w:val="el-GR"/>
        </w:rPr>
        <w:lastRenderedPageBreak/>
        <w:t xml:space="preserve">και είναι σημαντικό να τονιστεί ότι οι λύκοι δεν θα εξαλειφθούν και ότι θα πρέπει να συνεχιστούν οι προσπάθειες για την εφαρμογή προληπτικών μέτρων. </w:t>
      </w:r>
      <w:r w:rsidR="00AE6087">
        <w:rPr>
          <w:rFonts w:ascii="Arial" w:hAnsi="Arial" w:cs="Arial"/>
          <w:sz w:val="22"/>
          <w:szCs w:val="22"/>
          <w:lang w:val="el-GR"/>
        </w:rPr>
        <w:t>Το τελευταίο καθίσταται ακόμα πιο επιτακτικό</w:t>
      </w:r>
      <w:r w:rsidR="002278BC" w:rsidRPr="0088692C">
        <w:rPr>
          <w:rFonts w:ascii="Arial" w:hAnsi="Arial" w:cs="Arial"/>
          <w:sz w:val="22"/>
          <w:szCs w:val="22"/>
          <w:lang w:val="el-GR"/>
        </w:rPr>
        <w:t>, καθώς ο έλεγχος του πληθυσμού μέσω της θανάτωσης μπορεί, σε ορισμένες περιπτώσεις, να οδηγήσει ακόμη και σε αύξηση των επιθέσεων.</w:t>
      </w:r>
    </w:p>
    <w:p w14:paraId="58A6A549" w14:textId="3A637CBB" w:rsidR="00EA38AC" w:rsidRPr="0088692C" w:rsidRDefault="00EA38AC"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Ωστόσο, είναι σημαντικό να αναγνωριστεί ότι η </w:t>
      </w:r>
      <w:r w:rsidR="002278BC" w:rsidRPr="0088692C">
        <w:rPr>
          <w:rFonts w:ascii="Arial" w:hAnsi="Arial" w:cs="Arial"/>
          <w:sz w:val="22"/>
          <w:szCs w:val="22"/>
          <w:lang w:val="el-GR"/>
        </w:rPr>
        <w:t>υποβάθμιση</w:t>
      </w:r>
      <w:r w:rsidRPr="0088692C">
        <w:rPr>
          <w:rFonts w:ascii="Arial" w:hAnsi="Arial" w:cs="Arial"/>
          <w:sz w:val="22"/>
          <w:szCs w:val="22"/>
          <w:lang w:val="el-GR"/>
        </w:rPr>
        <w:t xml:space="preserve"> του καθεστώτος προστασίας του λύκου στην εθνική νομοθεσία μπορεί να έχει επιπτώσεις στη χρηματοδότηση των μέτρων συνύπαρξης</w:t>
      </w:r>
      <w:r w:rsidR="00AE6087">
        <w:rPr>
          <w:rFonts w:ascii="Arial" w:hAnsi="Arial" w:cs="Arial"/>
          <w:sz w:val="22"/>
          <w:szCs w:val="22"/>
          <w:lang w:val="el-GR"/>
        </w:rPr>
        <w:t xml:space="preserve"> σε επίπεδο χώρας</w:t>
      </w:r>
      <w:r w:rsidRPr="0088692C">
        <w:rPr>
          <w:rFonts w:ascii="Arial" w:hAnsi="Arial" w:cs="Arial"/>
          <w:sz w:val="22"/>
          <w:szCs w:val="22"/>
          <w:lang w:val="el-GR"/>
        </w:rPr>
        <w:t>, ιδίω</w:t>
      </w:r>
      <w:r w:rsidR="002278BC" w:rsidRPr="0088692C">
        <w:rPr>
          <w:rFonts w:ascii="Arial" w:hAnsi="Arial" w:cs="Arial"/>
          <w:sz w:val="22"/>
          <w:szCs w:val="22"/>
          <w:lang w:val="el-GR"/>
        </w:rPr>
        <w:t xml:space="preserve">ς όσον αφορά την αποζημίωση </w:t>
      </w:r>
      <w:r w:rsidRPr="0088692C">
        <w:rPr>
          <w:rFonts w:ascii="Arial" w:hAnsi="Arial" w:cs="Arial"/>
          <w:sz w:val="22"/>
          <w:szCs w:val="22"/>
          <w:lang w:val="el-GR"/>
        </w:rPr>
        <w:t xml:space="preserve">πληγέντων </w:t>
      </w:r>
      <w:r w:rsidR="002278BC" w:rsidRPr="0088692C">
        <w:rPr>
          <w:rFonts w:ascii="Arial" w:hAnsi="Arial" w:cs="Arial"/>
          <w:sz w:val="22"/>
          <w:szCs w:val="22"/>
          <w:lang w:val="el-GR"/>
        </w:rPr>
        <w:t>κτηνοτρόφων</w:t>
      </w:r>
      <w:r w:rsidRPr="0088692C">
        <w:rPr>
          <w:rFonts w:ascii="Arial" w:hAnsi="Arial" w:cs="Arial"/>
          <w:sz w:val="22"/>
          <w:szCs w:val="22"/>
          <w:lang w:val="el-GR"/>
        </w:rPr>
        <w:t xml:space="preserve">. Για παράδειγμα, στην Κροατία η αλλαγή του καθεστώτος σημαίνει ότι εξετάζεται η μεταφορά του υφιστάμενου συστήματος αποζημίωσης από την αρμοδιότητα και τον προϋπολογισμό του Υπουργείου Περιβάλλοντος, </w:t>
      </w:r>
      <w:r w:rsidR="002278BC" w:rsidRPr="0088692C">
        <w:rPr>
          <w:rFonts w:ascii="Arial" w:hAnsi="Arial" w:cs="Arial"/>
          <w:sz w:val="22"/>
          <w:szCs w:val="22"/>
          <w:lang w:val="el-GR"/>
        </w:rPr>
        <w:t>γεγονός που ενδέχεται να περιορίσει τη διαθεσιμότητα των αποζημιώσεων εάν το νέο σύστημα λειτουργήσει διαφορετικά.</w:t>
      </w:r>
    </w:p>
    <w:p w14:paraId="0C1FBF1C" w14:textId="77777777" w:rsidR="00EA38AC" w:rsidRPr="0088692C" w:rsidRDefault="00EA38AC"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Μετά το 2027, θα ισχύσει ο νέος μακροπρόθεσμος προϋπολογισμός της ΕΕ (πολυετές </w:t>
      </w:r>
      <w:r w:rsidR="002278BC" w:rsidRPr="0088692C">
        <w:rPr>
          <w:rFonts w:ascii="Arial" w:hAnsi="Arial" w:cs="Arial"/>
          <w:sz w:val="22"/>
          <w:szCs w:val="22"/>
          <w:lang w:val="el-GR"/>
        </w:rPr>
        <w:t>Δημοσιονομικό Π</w:t>
      </w:r>
      <w:r w:rsidRPr="0088692C">
        <w:rPr>
          <w:rFonts w:ascii="Arial" w:hAnsi="Arial" w:cs="Arial"/>
          <w:sz w:val="22"/>
          <w:szCs w:val="22"/>
          <w:lang w:val="el-GR"/>
        </w:rPr>
        <w:t xml:space="preserve">λαίσιο - ΠΔΠ) για την περίοδο 2028-2034. Η πρόταση της Επιτροπής για το νέο ΠΔΠ προβλέπει την ενσωμάτωση του προγράμματος </w:t>
      </w:r>
      <w:r w:rsidRPr="0088692C">
        <w:rPr>
          <w:rFonts w:ascii="Arial" w:hAnsi="Arial" w:cs="Arial"/>
          <w:sz w:val="22"/>
          <w:szCs w:val="22"/>
        </w:rPr>
        <w:t>LIFE</w:t>
      </w:r>
      <w:r w:rsidRPr="0088692C">
        <w:rPr>
          <w:rFonts w:ascii="Arial" w:hAnsi="Arial" w:cs="Arial"/>
          <w:sz w:val="22"/>
          <w:szCs w:val="22"/>
          <w:lang w:val="el-GR"/>
        </w:rPr>
        <w:t xml:space="preserve"> στο Ευρωπαϊκό Ταμείο Ανταγωνιστικότητας. Εάν εγκριθεί</w:t>
      </w:r>
      <w:r w:rsidR="002278BC" w:rsidRPr="0088692C">
        <w:rPr>
          <w:rFonts w:ascii="Arial" w:hAnsi="Arial" w:cs="Arial"/>
          <w:sz w:val="22"/>
          <w:szCs w:val="22"/>
          <w:lang w:val="el-GR"/>
        </w:rPr>
        <w:t xml:space="preserve"> η πρόταση</w:t>
      </w:r>
      <w:r w:rsidRPr="0088692C">
        <w:rPr>
          <w:rFonts w:ascii="Arial" w:hAnsi="Arial" w:cs="Arial"/>
          <w:sz w:val="22"/>
          <w:szCs w:val="22"/>
          <w:lang w:val="el-GR"/>
        </w:rPr>
        <w:t>, αυτό θα σήμαινε την ουσιαστική διακοπή του προγράμματος και, κατά πάσα πιθανότητα, της χρηματοδοτικής στήριξης της ΕΕ για μέτρα συνύπαρξης.</w:t>
      </w:r>
    </w:p>
    <w:p w14:paraId="38F343A1" w14:textId="77777777" w:rsidR="00EA38AC" w:rsidRPr="0088692C" w:rsidRDefault="002278BC" w:rsidP="0088692C">
      <w:pPr>
        <w:pStyle w:val="NormalWeb"/>
        <w:jc w:val="both"/>
        <w:rPr>
          <w:rFonts w:ascii="Arial" w:eastAsia="Arial" w:hAnsi="Arial" w:cs="Arial"/>
          <w:b/>
          <w:bCs/>
          <w:sz w:val="22"/>
          <w:szCs w:val="22"/>
          <w:highlight w:val="yellow"/>
          <w:lang w:val="el-GR"/>
        </w:rPr>
      </w:pPr>
      <w:r w:rsidRPr="0088692C">
        <w:rPr>
          <w:rFonts w:ascii="Arial" w:eastAsia="Arial" w:hAnsi="Arial" w:cs="Arial"/>
          <w:b/>
          <w:bCs/>
          <w:sz w:val="22"/>
          <w:szCs w:val="22"/>
          <w:highlight w:val="yellow"/>
          <w:lang w:val="el-GR"/>
        </w:rPr>
        <w:t xml:space="preserve">Γιατί οι τακτικές απαιτήσεις υποβολής εκθέσεων, όπως ορίζονται στο άρθρο 17 της </w:t>
      </w:r>
      <w:r w:rsidR="004E72AA" w:rsidRPr="0088692C">
        <w:rPr>
          <w:rFonts w:ascii="Arial" w:eastAsia="Arial" w:hAnsi="Arial" w:cs="Arial"/>
          <w:b/>
          <w:bCs/>
          <w:sz w:val="22"/>
          <w:szCs w:val="22"/>
          <w:highlight w:val="yellow"/>
          <w:lang w:val="el-GR"/>
        </w:rPr>
        <w:t>Ο</w:t>
      </w:r>
      <w:r w:rsidRPr="0088692C">
        <w:rPr>
          <w:rFonts w:ascii="Arial" w:eastAsia="Arial" w:hAnsi="Arial" w:cs="Arial"/>
          <w:b/>
          <w:bCs/>
          <w:sz w:val="22"/>
          <w:szCs w:val="22"/>
          <w:highlight w:val="yellow"/>
          <w:lang w:val="el-GR"/>
        </w:rPr>
        <w:t xml:space="preserve">δηγίας για τους </w:t>
      </w:r>
      <w:r w:rsidR="004E72AA" w:rsidRPr="0088692C">
        <w:rPr>
          <w:rFonts w:ascii="Arial" w:eastAsia="Arial" w:hAnsi="Arial" w:cs="Arial"/>
          <w:b/>
          <w:bCs/>
          <w:sz w:val="22"/>
          <w:szCs w:val="22"/>
          <w:highlight w:val="yellow"/>
          <w:lang w:val="el-GR"/>
        </w:rPr>
        <w:t>Ο</w:t>
      </w:r>
      <w:r w:rsidRPr="0088692C">
        <w:rPr>
          <w:rFonts w:ascii="Arial" w:eastAsia="Arial" w:hAnsi="Arial" w:cs="Arial"/>
          <w:b/>
          <w:bCs/>
          <w:sz w:val="22"/>
          <w:szCs w:val="22"/>
          <w:highlight w:val="yellow"/>
          <w:lang w:val="el-GR"/>
        </w:rPr>
        <w:t>ικοτόπους, είναι ακόμη πιο απαραίτητες τώρα που ο λύκος είναι μόνο «προστατευόμενος»;</w:t>
      </w:r>
    </w:p>
    <w:p w14:paraId="677642A4" w14:textId="7EE1EF4A" w:rsidR="004E72AA" w:rsidRPr="0088692C" w:rsidRDefault="004E72AA"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Οι ποσοστώσεις θήρευσης θα καθοριστούν με βάση την </w:t>
      </w:r>
      <w:r w:rsidR="00F86AFA" w:rsidRPr="0088692C">
        <w:rPr>
          <w:rFonts w:ascii="Arial" w:hAnsi="Arial" w:cs="Arial"/>
          <w:sz w:val="22"/>
          <w:szCs w:val="22"/>
          <w:lang w:val="el-GR"/>
        </w:rPr>
        <w:t>επιθυμητή</w:t>
      </w:r>
      <w:r w:rsidRPr="0088692C">
        <w:rPr>
          <w:rFonts w:ascii="Arial" w:hAnsi="Arial" w:cs="Arial"/>
          <w:sz w:val="22"/>
          <w:szCs w:val="22"/>
          <w:lang w:val="el-GR"/>
        </w:rPr>
        <w:t xml:space="preserve"> τιμή αναφοράς, η οποία είναι ο ελάχιστος αριθμός ατόμων που απαιτείται για τη διατήρηση ικανοποιητικής κατάστασης διατήρησης. Η </w:t>
      </w:r>
      <w:r w:rsidR="00F86AFA" w:rsidRPr="0088692C">
        <w:rPr>
          <w:rFonts w:ascii="Arial" w:hAnsi="Arial" w:cs="Arial"/>
          <w:sz w:val="22"/>
          <w:szCs w:val="22"/>
          <w:lang w:val="el-GR"/>
        </w:rPr>
        <w:t>επιθυμητή</w:t>
      </w:r>
      <w:r w:rsidRPr="0088692C">
        <w:rPr>
          <w:rFonts w:ascii="Arial" w:hAnsi="Arial" w:cs="Arial"/>
          <w:sz w:val="22"/>
          <w:szCs w:val="22"/>
          <w:lang w:val="el-GR"/>
        </w:rPr>
        <w:t xml:space="preserve"> τιμή αναφοράς καθορίζεται κάθε έξι έτη σύμφωνα με τις υποχρεώσεις υποβολής </w:t>
      </w:r>
      <w:r w:rsidR="00F86AFA" w:rsidRPr="0088692C">
        <w:rPr>
          <w:rFonts w:ascii="Arial" w:hAnsi="Arial" w:cs="Arial"/>
          <w:sz w:val="22"/>
          <w:szCs w:val="22"/>
          <w:lang w:val="el-GR"/>
        </w:rPr>
        <w:t>εκθέσεων που προβλέπονται στην Ο</w:t>
      </w:r>
      <w:r w:rsidRPr="0088692C">
        <w:rPr>
          <w:rFonts w:ascii="Arial" w:hAnsi="Arial" w:cs="Arial"/>
          <w:sz w:val="22"/>
          <w:szCs w:val="22"/>
          <w:lang w:val="el-GR"/>
        </w:rPr>
        <w:t xml:space="preserve">δηγία για τους </w:t>
      </w:r>
      <w:r w:rsidR="00F86AFA" w:rsidRPr="0088692C">
        <w:rPr>
          <w:rFonts w:ascii="Arial" w:hAnsi="Arial" w:cs="Arial"/>
          <w:sz w:val="22"/>
          <w:szCs w:val="22"/>
          <w:lang w:val="el-GR"/>
        </w:rPr>
        <w:t>Ο</w:t>
      </w:r>
      <w:r w:rsidRPr="0088692C">
        <w:rPr>
          <w:rFonts w:ascii="Arial" w:hAnsi="Arial" w:cs="Arial"/>
          <w:sz w:val="22"/>
          <w:szCs w:val="22"/>
          <w:lang w:val="el-GR"/>
        </w:rPr>
        <w:t xml:space="preserve">ικοτόπους. Δεδομένου ότι οι πληθυσμοί μπορούν να παρουσιάσουν μεγάλες διακυμάνσεις σε διάστημα έξι ετών, ιδίως εάν επιτρέπεται η θήρευση, συνιστάται η τακτική αναθεώρηση των ποσοστώσεων, ιδανικά σε ετήσια βάση, </w:t>
      </w:r>
      <w:r w:rsidR="00AE6087">
        <w:rPr>
          <w:rFonts w:ascii="Arial" w:hAnsi="Arial" w:cs="Arial"/>
          <w:sz w:val="22"/>
          <w:szCs w:val="22"/>
          <w:lang w:val="el-GR"/>
        </w:rPr>
        <w:t>μέσα από μία διαφανή</w:t>
      </w:r>
      <w:r w:rsidRPr="0088692C">
        <w:rPr>
          <w:rFonts w:ascii="Arial" w:hAnsi="Arial" w:cs="Arial"/>
          <w:sz w:val="22"/>
          <w:szCs w:val="22"/>
          <w:lang w:val="el-GR"/>
        </w:rPr>
        <w:t xml:space="preserve">, τακτική και αυστηρή </w:t>
      </w:r>
      <w:r w:rsidR="00AE6087">
        <w:rPr>
          <w:rFonts w:ascii="Arial" w:hAnsi="Arial" w:cs="Arial"/>
          <w:sz w:val="22"/>
          <w:szCs w:val="22"/>
          <w:lang w:val="el-GR"/>
        </w:rPr>
        <w:t xml:space="preserve">διαδικασία </w:t>
      </w:r>
      <w:r w:rsidRPr="0088692C">
        <w:rPr>
          <w:rFonts w:ascii="Arial" w:hAnsi="Arial" w:cs="Arial"/>
          <w:sz w:val="22"/>
          <w:szCs w:val="22"/>
          <w:lang w:val="el-GR"/>
        </w:rPr>
        <w:t>παρακολούθηση</w:t>
      </w:r>
      <w:r w:rsidR="00AE6087">
        <w:rPr>
          <w:rFonts w:ascii="Arial" w:hAnsi="Arial" w:cs="Arial"/>
          <w:sz w:val="22"/>
          <w:szCs w:val="22"/>
          <w:lang w:val="el-GR"/>
        </w:rPr>
        <w:t>ς</w:t>
      </w:r>
      <w:r w:rsidRPr="0088692C">
        <w:rPr>
          <w:rFonts w:ascii="Arial" w:hAnsi="Arial" w:cs="Arial"/>
          <w:sz w:val="22"/>
          <w:szCs w:val="22"/>
          <w:lang w:val="el-GR"/>
        </w:rPr>
        <w:t xml:space="preserve">. Επιπλέον, οι ποσοστώσεις θα είναι </w:t>
      </w:r>
      <w:r w:rsidR="00F86AFA" w:rsidRPr="0088692C">
        <w:rPr>
          <w:rFonts w:ascii="Arial" w:hAnsi="Arial" w:cs="Arial"/>
          <w:sz w:val="22"/>
          <w:szCs w:val="22"/>
          <w:lang w:val="el-GR"/>
        </w:rPr>
        <w:t>όπως αναμένεται π</w:t>
      </w:r>
      <w:r w:rsidRPr="0088692C">
        <w:rPr>
          <w:rFonts w:ascii="Arial" w:hAnsi="Arial" w:cs="Arial"/>
          <w:sz w:val="22"/>
          <w:szCs w:val="22"/>
          <w:lang w:val="el-GR"/>
        </w:rPr>
        <w:t xml:space="preserve">ολύ χαμηλές, καθώς οι περισσότεροι πληθυσμοί δεν έφτασαν σε </w:t>
      </w:r>
      <w:r w:rsidR="00F86AFA" w:rsidRPr="0088692C">
        <w:rPr>
          <w:rFonts w:ascii="Arial" w:hAnsi="Arial" w:cs="Arial"/>
          <w:sz w:val="22"/>
          <w:szCs w:val="22"/>
          <w:lang w:val="el-GR"/>
        </w:rPr>
        <w:t>ικανοποιητική</w:t>
      </w:r>
      <w:r w:rsidRPr="0088692C">
        <w:rPr>
          <w:rFonts w:ascii="Arial" w:hAnsi="Arial" w:cs="Arial"/>
          <w:sz w:val="22"/>
          <w:szCs w:val="22"/>
          <w:lang w:val="el-GR"/>
        </w:rPr>
        <w:t xml:space="preserve"> κατάσταση διατήρησης το 2019. Σε αυτό το πλαίσιο, </w:t>
      </w:r>
      <w:r w:rsidR="00F86AFA" w:rsidRPr="0088692C">
        <w:rPr>
          <w:rFonts w:ascii="Arial" w:hAnsi="Arial" w:cs="Arial"/>
          <w:sz w:val="22"/>
          <w:szCs w:val="22"/>
          <w:lang w:val="el-GR"/>
        </w:rPr>
        <w:t>είναι κρίσιμο να λαμβάνονται υπόψη</w:t>
      </w:r>
      <w:r w:rsidRPr="0088692C">
        <w:rPr>
          <w:rFonts w:ascii="Arial" w:hAnsi="Arial" w:cs="Arial"/>
          <w:sz w:val="22"/>
          <w:szCs w:val="22"/>
          <w:lang w:val="el-GR"/>
        </w:rPr>
        <w:t xml:space="preserve"> όλες οι </w:t>
      </w:r>
      <w:r w:rsidR="00F86AFA" w:rsidRPr="0088692C">
        <w:rPr>
          <w:rFonts w:ascii="Arial" w:hAnsi="Arial" w:cs="Arial"/>
          <w:sz w:val="22"/>
          <w:szCs w:val="22"/>
          <w:lang w:val="el-GR"/>
        </w:rPr>
        <w:t>καταγεγραμμένες θανατώσεις</w:t>
      </w:r>
      <w:r w:rsidRPr="0088692C">
        <w:rPr>
          <w:rFonts w:ascii="Arial" w:hAnsi="Arial" w:cs="Arial"/>
          <w:sz w:val="22"/>
          <w:szCs w:val="22"/>
          <w:lang w:val="el-GR"/>
        </w:rPr>
        <w:t xml:space="preserve"> (π.χ. </w:t>
      </w:r>
      <w:r w:rsidR="00F86AFA" w:rsidRPr="0088692C">
        <w:rPr>
          <w:rFonts w:ascii="Arial" w:hAnsi="Arial" w:cs="Arial"/>
          <w:sz w:val="22"/>
          <w:szCs w:val="22"/>
          <w:lang w:val="el-GR"/>
        </w:rPr>
        <w:t>λαθροθηρία</w:t>
      </w:r>
      <w:r w:rsidRPr="0088692C">
        <w:rPr>
          <w:rFonts w:ascii="Arial" w:hAnsi="Arial" w:cs="Arial"/>
          <w:sz w:val="22"/>
          <w:szCs w:val="22"/>
          <w:lang w:val="el-GR"/>
        </w:rPr>
        <w:t xml:space="preserve">, </w:t>
      </w:r>
      <w:r w:rsidR="00F86AFA" w:rsidRPr="0088692C">
        <w:rPr>
          <w:rFonts w:ascii="Arial" w:hAnsi="Arial" w:cs="Arial"/>
          <w:sz w:val="22"/>
          <w:szCs w:val="22"/>
          <w:lang w:val="el-GR"/>
        </w:rPr>
        <w:t>τροχαία ατυχήματα</w:t>
      </w:r>
      <w:r w:rsidRPr="0088692C">
        <w:rPr>
          <w:rFonts w:ascii="Arial" w:hAnsi="Arial" w:cs="Arial"/>
          <w:sz w:val="22"/>
          <w:szCs w:val="22"/>
          <w:lang w:val="el-GR"/>
        </w:rPr>
        <w:t xml:space="preserve">) </w:t>
      </w:r>
      <w:r w:rsidR="00F86AFA" w:rsidRPr="0088692C">
        <w:rPr>
          <w:rFonts w:ascii="Arial" w:hAnsi="Arial" w:cs="Arial"/>
          <w:sz w:val="22"/>
          <w:szCs w:val="22"/>
          <w:lang w:val="el-GR"/>
        </w:rPr>
        <w:t>καθώς και ο αριθμός των θηλυκών που σκοτώθηκα</w:t>
      </w:r>
      <w:r w:rsidRPr="0088692C">
        <w:rPr>
          <w:rFonts w:ascii="Arial" w:hAnsi="Arial" w:cs="Arial"/>
          <w:sz w:val="22"/>
          <w:szCs w:val="22"/>
          <w:lang w:val="el-GR"/>
        </w:rPr>
        <w:t>ν</w:t>
      </w:r>
      <w:r w:rsidR="00F86AFA" w:rsidRPr="0088692C">
        <w:rPr>
          <w:rFonts w:ascii="Arial" w:hAnsi="Arial" w:cs="Arial"/>
          <w:sz w:val="22"/>
          <w:szCs w:val="22"/>
          <w:lang w:val="el-GR"/>
        </w:rPr>
        <w:t>,</w:t>
      </w:r>
      <w:r w:rsidRPr="0088692C">
        <w:rPr>
          <w:rFonts w:ascii="Arial" w:hAnsi="Arial" w:cs="Arial"/>
          <w:sz w:val="22"/>
          <w:szCs w:val="22"/>
          <w:lang w:val="el-GR"/>
        </w:rPr>
        <w:t xml:space="preserve"> </w:t>
      </w:r>
      <w:r w:rsidR="00F86AFA" w:rsidRPr="0088692C">
        <w:rPr>
          <w:rFonts w:ascii="Arial" w:hAnsi="Arial" w:cs="Arial"/>
          <w:sz w:val="22"/>
          <w:szCs w:val="22"/>
          <w:lang w:val="el-GR"/>
        </w:rPr>
        <w:t xml:space="preserve">ώστε οι ποσοστώσεις να αναθεωρούνται σωστά και να διασφαλίζεται ότι ο πληθυσμός δεν θα πέσει κάτω από την επιθυμητή </w:t>
      </w:r>
      <w:r w:rsidRPr="0088692C">
        <w:rPr>
          <w:rFonts w:ascii="Arial" w:hAnsi="Arial" w:cs="Arial"/>
          <w:sz w:val="22"/>
          <w:szCs w:val="22"/>
          <w:lang w:val="el-GR"/>
        </w:rPr>
        <w:t>τιμή αναφοράς.</w:t>
      </w:r>
    </w:p>
    <w:p w14:paraId="3EE76E89" w14:textId="77777777" w:rsidR="004E72AA" w:rsidRPr="0088692C" w:rsidRDefault="004E72AA"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Αν και η </w:t>
      </w:r>
      <w:r w:rsidR="00F86AFA" w:rsidRPr="0088692C">
        <w:rPr>
          <w:rFonts w:ascii="Arial" w:hAnsi="Arial" w:cs="Arial"/>
          <w:sz w:val="22"/>
          <w:szCs w:val="22"/>
          <w:lang w:val="el-GR"/>
        </w:rPr>
        <w:t>ικανοποιητική</w:t>
      </w:r>
      <w:r w:rsidRPr="0088692C">
        <w:rPr>
          <w:rFonts w:ascii="Arial" w:hAnsi="Arial" w:cs="Arial"/>
          <w:sz w:val="22"/>
          <w:szCs w:val="22"/>
          <w:lang w:val="el-GR"/>
        </w:rPr>
        <w:t xml:space="preserve"> κατάσταση διατήρησης ορίζεται σε επίπεδο κράτους μέλους για κάθε πληθυσμό που </w:t>
      </w:r>
      <w:r w:rsidR="004D7B58" w:rsidRPr="0088692C">
        <w:rPr>
          <w:rFonts w:ascii="Arial" w:hAnsi="Arial" w:cs="Arial"/>
          <w:sz w:val="22"/>
          <w:szCs w:val="22"/>
          <w:lang w:val="el-GR"/>
        </w:rPr>
        <w:t>βρίσκεται στην επικράτειά του</w:t>
      </w:r>
      <w:r w:rsidRPr="0088692C">
        <w:rPr>
          <w:rFonts w:ascii="Arial" w:hAnsi="Arial" w:cs="Arial"/>
          <w:sz w:val="22"/>
          <w:szCs w:val="22"/>
          <w:lang w:val="el-GR"/>
        </w:rPr>
        <w:t xml:space="preserve">, η διασυνοριακή συνεργασία είναι σημαντική και ενθαρρύνεται προκειμένου να διασφαλιστεί ότι οποιαδήποτε </w:t>
      </w:r>
      <w:r w:rsidR="004D7B58" w:rsidRPr="0088692C">
        <w:rPr>
          <w:rFonts w:ascii="Arial" w:hAnsi="Arial" w:cs="Arial"/>
          <w:sz w:val="22"/>
          <w:szCs w:val="22"/>
          <w:lang w:val="el-GR"/>
        </w:rPr>
        <w:t>διαχειριστική απόφαση</w:t>
      </w:r>
      <w:r w:rsidRPr="0088692C">
        <w:rPr>
          <w:rFonts w:ascii="Arial" w:hAnsi="Arial" w:cs="Arial"/>
          <w:sz w:val="22"/>
          <w:szCs w:val="22"/>
          <w:lang w:val="el-GR"/>
        </w:rPr>
        <w:t xml:space="preserve"> σε ένα κράτος μέλος δεν επηρεάζει τον πληθυσμό σε περιφερειακό επίπεδο και στα γειτονικά κράτη μέλη.</w:t>
      </w:r>
    </w:p>
    <w:p w14:paraId="4F885942" w14:textId="61980D20" w:rsidR="00122B8A" w:rsidRPr="0088692C" w:rsidRDefault="004D7B58"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Τα κράτη μέλη είχαν προθεσμία έως τις 31 Ιουλίου 2025 για να υποβάλουν εκθέσεις σχετικά με την κατάσταση και τη διατήρηση των προστατευόμενων </w:t>
      </w:r>
      <w:r w:rsidR="00F51630" w:rsidRPr="0088692C">
        <w:rPr>
          <w:rFonts w:ascii="Arial" w:hAnsi="Arial" w:cs="Arial"/>
          <w:sz w:val="22"/>
          <w:szCs w:val="22"/>
          <w:lang w:val="el-GR"/>
        </w:rPr>
        <w:t>ειδών για την περίοδο 2019-2024</w:t>
      </w:r>
      <w:r w:rsidR="00F51630" w:rsidRPr="0088692C">
        <w:rPr>
          <w:rStyle w:val="FootnoteReference"/>
          <w:rFonts w:ascii="Arial" w:hAnsi="Arial" w:cs="Arial"/>
          <w:sz w:val="22"/>
          <w:szCs w:val="22"/>
          <w:lang w:val="el-GR"/>
        </w:rPr>
        <w:footnoteReference w:id="2"/>
      </w:r>
      <w:r w:rsidRPr="0088692C">
        <w:rPr>
          <w:rFonts w:ascii="Arial" w:hAnsi="Arial" w:cs="Arial"/>
          <w:sz w:val="22"/>
          <w:szCs w:val="22"/>
          <w:lang w:val="el-GR"/>
        </w:rPr>
        <w:t xml:space="preserve">. Οι </w:t>
      </w:r>
      <w:r w:rsidR="00917C82">
        <w:rPr>
          <w:rFonts w:ascii="Arial" w:hAnsi="Arial" w:cs="Arial"/>
          <w:sz w:val="22"/>
          <w:szCs w:val="22"/>
          <w:lang w:val="el-GR"/>
        </w:rPr>
        <w:t xml:space="preserve">σχετικές Περιβαλλοντικές </w:t>
      </w:r>
      <w:r w:rsidR="004801E3">
        <w:rPr>
          <w:rFonts w:ascii="Arial" w:hAnsi="Arial" w:cs="Arial"/>
          <w:sz w:val="22"/>
          <w:szCs w:val="22"/>
          <w:lang w:val="el-GR"/>
        </w:rPr>
        <w:t>Ο</w:t>
      </w:r>
      <w:r w:rsidR="00917C82">
        <w:rPr>
          <w:rFonts w:ascii="Arial" w:hAnsi="Arial" w:cs="Arial"/>
          <w:sz w:val="22"/>
          <w:szCs w:val="22"/>
          <w:lang w:val="el-GR"/>
        </w:rPr>
        <w:t>ργανώσεις</w:t>
      </w:r>
      <w:r w:rsidR="00917C82" w:rsidRPr="0088692C">
        <w:rPr>
          <w:rFonts w:ascii="Arial" w:hAnsi="Arial" w:cs="Arial"/>
          <w:sz w:val="22"/>
          <w:szCs w:val="22"/>
          <w:lang w:val="el-GR"/>
        </w:rPr>
        <w:t xml:space="preserve"> </w:t>
      </w:r>
      <w:r w:rsidRPr="0088692C">
        <w:rPr>
          <w:rFonts w:ascii="Arial" w:hAnsi="Arial" w:cs="Arial"/>
          <w:sz w:val="22"/>
          <w:szCs w:val="22"/>
          <w:lang w:val="el-GR"/>
        </w:rPr>
        <w:t xml:space="preserve">θα πρέπει να ελέγξουν τα στοιχεία που υποβλήθηκαν, συμπεριλαμβανομένης της μεθοδολογίας, προκειμένου να τροφοδοτήσουν μια επικείμενη δημόσια διαβούλευση (προγραμματισμένη για τον Μάιο του 2026) που διοργανώνει ο Ευρωπαϊκός Οργανισμός Περιβάλλοντος (ΕΟΠ), ο οποίος αναλύει τα στοιχεία για να εξαγάγει συμπεράσματα σχετικά με την κατάσταση των ειδών σε περιφερειακό επίπεδο. Είναι σημαντικό να επισημανθούν στον ΕΟΠ τυχόν ανησυχίες σχετικά με αυτά τα δεδομένα </w:t>
      </w:r>
      <w:r w:rsidRPr="0088692C">
        <w:rPr>
          <w:rFonts w:ascii="Arial" w:hAnsi="Arial" w:cs="Arial"/>
          <w:sz w:val="22"/>
          <w:szCs w:val="22"/>
          <w:lang w:val="el-GR"/>
        </w:rPr>
        <w:lastRenderedPageBreak/>
        <w:t xml:space="preserve">(π.χ. μεθοδολογία που χρησιμοποιήθηκε, ενδείξεις ότι πρόκειται για πολιτική απόφαση, παρερμηνεία επιστημονικών εκθέσεων, απουσία εξέτασης της μακροπρόθεσμης βιωσιμότητας των πληθυσμών). Πράγματι, εάν οι </w:t>
      </w:r>
      <w:r w:rsidR="004801E3">
        <w:rPr>
          <w:rFonts w:ascii="Arial" w:hAnsi="Arial" w:cs="Arial"/>
          <w:sz w:val="22"/>
          <w:szCs w:val="22"/>
          <w:lang w:val="el-GR"/>
        </w:rPr>
        <w:t>Περιβαλλοντικές Οργανώσεις και Φ</w:t>
      </w:r>
      <w:r w:rsidR="00917C82">
        <w:rPr>
          <w:rFonts w:ascii="Arial" w:hAnsi="Arial" w:cs="Arial"/>
          <w:sz w:val="22"/>
          <w:szCs w:val="22"/>
          <w:lang w:val="el-GR"/>
        </w:rPr>
        <w:t>ορείς</w:t>
      </w:r>
      <w:r w:rsidR="00917C82" w:rsidRPr="0088692C">
        <w:rPr>
          <w:rFonts w:ascii="Arial" w:hAnsi="Arial" w:cs="Arial"/>
          <w:sz w:val="22"/>
          <w:szCs w:val="22"/>
          <w:lang w:val="el-GR"/>
        </w:rPr>
        <w:t xml:space="preserve"> </w:t>
      </w:r>
      <w:r w:rsidRPr="0088692C">
        <w:rPr>
          <w:rFonts w:ascii="Arial" w:hAnsi="Arial" w:cs="Arial"/>
          <w:sz w:val="22"/>
          <w:szCs w:val="22"/>
          <w:lang w:val="el-GR"/>
        </w:rPr>
        <w:t>ή οι επιστήμονες δεν κρούσουν τον κώδωνα του κινδύνου, ο ΕΟΠ δεν θα διερευνήσει περαιτέρω ούτε θα αμφισβητήσει τα δεδομένα που υποβλήθηκαν από τα κράτη μέλη.</w:t>
      </w:r>
    </w:p>
    <w:p w14:paraId="3CD50A80" w14:textId="77777777" w:rsidR="00F51630" w:rsidRPr="0088692C" w:rsidRDefault="00F51630" w:rsidP="0088692C">
      <w:pPr>
        <w:pStyle w:val="NormalWeb"/>
        <w:jc w:val="both"/>
        <w:rPr>
          <w:rFonts w:ascii="Arial" w:hAnsi="Arial" w:cs="Arial"/>
          <w:b/>
          <w:sz w:val="22"/>
          <w:szCs w:val="22"/>
          <w:lang w:val="el-GR"/>
        </w:rPr>
      </w:pPr>
      <w:r w:rsidRPr="0088692C">
        <w:rPr>
          <w:rFonts w:ascii="Arial" w:hAnsi="Arial" w:cs="Arial"/>
          <w:b/>
          <w:sz w:val="22"/>
          <w:szCs w:val="22"/>
          <w:highlight w:val="yellow"/>
          <w:lang w:val="el-GR"/>
        </w:rPr>
        <w:t>Μπορούν τα κράτη μέλη να διατηρήσουν το καθεστώς αυστηρής προστασίας;</w:t>
      </w:r>
    </w:p>
    <w:p w14:paraId="54009BF4" w14:textId="75EAD092" w:rsidR="00F51630" w:rsidRPr="0088692C" w:rsidRDefault="00F51630"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Είναι δυνατό για οποιοδήποτε κράτος μέλος να διατηρήσει την αυστηρή προστασία του λύκου, σύμφωνα με τους στόχους διατήρησης της Οδηγίας για τους Οικοτόπους. Μέχρι και τις 22 Οκτωβρίου 2025, κανένα κράτος μέλος δεν είχε ενημερώσει επίσημα την Ευρωπαϊκή Επιτροπή για την πρόθεσή του να διατηρήσει τους λύκους υπό αυστηρή προστασία στο έδαφός του. Οι συζητήσεις φαίνεται να είναι σε εξέλιξη σε αρκετά κράτη μέλη. Το Λουξεμβούργο, το Βέλγιο (Βαλλωνία) και η Πορτογαλία </w:t>
      </w:r>
      <w:r w:rsidR="00476877" w:rsidRPr="0088692C">
        <w:rPr>
          <w:rFonts w:ascii="Arial" w:hAnsi="Arial" w:cs="Arial"/>
          <w:sz w:val="22"/>
          <w:szCs w:val="22"/>
          <w:lang w:val="el-GR"/>
        </w:rPr>
        <w:t xml:space="preserve">δήλωσαν ότι προτίθενται να διατηρήσουν τον λύκο στο Παράρτημα </w:t>
      </w:r>
      <w:r w:rsidR="00476877" w:rsidRPr="0088692C">
        <w:rPr>
          <w:rFonts w:ascii="Arial" w:hAnsi="Arial" w:cs="Arial"/>
          <w:sz w:val="22"/>
          <w:szCs w:val="22"/>
        </w:rPr>
        <w:t>IV</w:t>
      </w:r>
      <w:r w:rsidR="00476877" w:rsidRPr="0088692C">
        <w:rPr>
          <w:rFonts w:ascii="Arial" w:hAnsi="Arial" w:cs="Arial"/>
          <w:sz w:val="22"/>
          <w:szCs w:val="22"/>
          <w:lang w:val="el-GR"/>
        </w:rPr>
        <w:t xml:space="preserve">, ενώ η Εσθονία και η Λετονία σκοπεύουν να τον διατηρήσουν στο Παράρτημα </w:t>
      </w:r>
      <w:r w:rsidR="00476877" w:rsidRPr="0088692C">
        <w:rPr>
          <w:rFonts w:ascii="Arial" w:hAnsi="Arial" w:cs="Arial"/>
          <w:sz w:val="22"/>
          <w:szCs w:val="22"/>
        </w:rPr>
        <w:t>V</w:t>
      </w:r>
      <w:r w:rsidR="00476877" w:rsidRPr="0088692C">
        <w:rPr>
          <w:rFonts w:ascii="Arial" w:hAnsi="Arial" w:cs="Arial"/>
          <w:sz w:val="22"/>
          <w:szCs w:val="22"/>
          <w:lang w:val="el-GR"/>
        </w:rPr>
        <w:t xml:space="preserve">. Δυστυχώς, τα περισσότερα κράτη μέλη, όπως η Αυστρία, η Γαλλία, η Γερμανία, η Ιταλία και η Σουηδία, σχεδιάζουν να υποβαθμίσουν το καθεστώς προστασίας των λύκων. </w:t>
      </w:r>
      <w:r w:rsidRPr="0088692C">
        <w:rPr>
          <w:rFonts w:ascii="Arial" w:hAnsi="Arial" w:cs="Arial"/>
          <w:sz w:val="22"/>
          <w:szCs w:val="22"/>
          <w:lang w:val="el-GR"/>
        </w:rPr>
        <w:t>Αναγνωρίζοντας ότι οι συζητήσεις αυτές είναι ακόμ</w:t>
      </w:r>
      <w:r w:rsidR="00AE6087">
        <w:rPr>
          <w:rFonts w:ascii="Arial" w:hAnsi="Arial" w:cs="Arial"/>
          <w:sz w:val="22"/>
          <w:szCs w:val="22"/>
          <w:lang w:val="el-GR"/>
        </w:rPr>
        <w:t>η</w:t>
      </w:r>
      <w:r w:rsidRPr="0088692C">
        <w:rPr>
          <w:rFonts w:ascii="Arial" w:hAnsi="Arial" w:cs="Arial"/>
          <w:sz w:val="22"/>
          <w:szCs w:val="22"/>
          <w:lang w:val="el-GR"/>
        </w:rPr>
        <w:t xml:space="preserve"> σε εξέλιξη </w:t>
      </w:r>
      <w:r w:rsidR="00AE6087">
        <w:rPr>
          <w:rFonts w:ascii="Arial" w:hAnsi="Arial" w:cs="Arial"/>
          <w:sz w:val="22"/>
          <w:szCs w:val="22"/>
          <w:lang w:val="el-GR"/>
        </w:rPr>
        <w:t xml:space="preserve">σε </w:t>
      </w:r>
      <w:r w:rsidRPr="0088692C">
        <w:rPr>
          <w:rFonts w:ascii="Arial" w:hAnsi="Arial" w:cs="Arial"/>
          <w:sz w:val="22"/>
          <w:szCs w:val="22"/>
          <w:lang w:val="el-GR"/>
        </w:rPr>
        <w:t xml:space="preserve">πολλά κράτη μέλη, τα αιτήματα των </w:t>
      </w:r>
      <w:r w:rsidR="00917C82" w:rsidRPr="00917C82">
        <w:rPr>
          <w:rFonts w:ascii="Arial" w:eastAsia="Arial" w:hAnsi="Arial" w:cs="Arial"/>
          <w:lang w:val="el-GR"/>
        </w:rPr>
        <w:t>Περιβαλλοντικ</w:t>
      </w:r>
      <w:r w:rsidR="00917C82">
        <w:rPr>
          <w:rFonts w:ascii="Arial" w:eastAsia="Arial" w:hAnsi="Arial" w:cs="Arial"/>
          <w:lang w:val="el-GR"/>
        </w:rPr>
        <w:t>ών</w:t>
      </w:r>
      <w:r w:rsidR="004801E3">
        <w:rPr>
          <w:rFonts w:ascii="Arial" w:eastAsia="Arial" w:hAnsi="Arial" w:cs="Arial"/>
          <w:lang w:val="el-GR"/>
        </w:rPr>
        <w:t xml:space="preserve"> Ο</w:t>
      </w:r>
      <w:r w:rsidR="00917C82" w:rsidRPr="00917C82">
        <w:rPr>
          <w:rFonts w:ascii="Arial" w:eastAsia="Arial" w:hAnsi="Arial" w:cs="Arial"/>
          <w:lang w:val="el-GR"/>
        </w:rPr>
        <w:t>ργανώσε</w:t>
      </w:r>
      <w:r w:rsidR="00917C82">
        <w:rPr>
          <w:rFonts w:ascii="Arial" w:eastAsia="Arial" w:hAnsi="Arial" w:cs="Arial"/>
          <w:lang w:val="el-GR"/>
        </w:rPr>
        <w:t>ων</w:t>
      </w:r>
      <w:r w:rsidR="00917C82" w:rsidRPr="0036172C">
        <w:rPr>
          <w:rFonts w:ascii="Arial" w:eastAsia="Arial" w:hAnsi="Arial" w:cs="Arial"/>
          <w:lang w:val="el-GR"/>
        </w:rPr>
        <w:t xml:space="preserve"> </w:t>
      </w:r>
      <w:r w:rsidRPr="0088692C">
        <w:rPr>
          <w:rFonts w:ascii="Arial" w:hAnsi="Arial" w:cs="Arial"/>
          <w:sz w:val="22"/>
          <w:szCs w:val="22"/>
          <w:lang w:val="el-GR"/>
        </w:rPr>
        <w:t xml:space="preserve">αντικατοπτρίζονται στην κοινή επιστολή που είναι διαθέσιμη </w:t>
      </w:r>
      <w:commentRangeStart w:id="33"/>
      <w:r w:rsidRPr="0088692C">
        <w:rPr>
          <w:rFonts w:ascii="Arial" w:hAnsi="Arial" w:cs="Arial"/>
          <w:sz w:val="22"/>
          <w:szCs w:val="22"/>
          <w:lang w:val="el-GR"/>
        </w:rPr>
        <w:t>εδώ.</w:t>
      </w:r>
      <w:commentRangeEnd w:id="33"/>
      <w:r w:rsidRPr="0088692C">
        <w:rPr>
          <w:rStyle w:val="CommentReference"/>
          <w:rFonts w:ascii="Arial" w:eastAsiaTheme="minorHAnsi" w:hAnsi="Arial" w:cs="Arial"/>
          <w:sz w:val="22"/>
          <w:szCs w:val="22"/>
          <w:lang w:val="el-GR"/>
        </w:rPr>
        <w:commentReference w:id="33"/>
      </w:r>
    </w:p>
    <w:p w14:paraId="62FC5F24" w14:textId="0573BC51" w:rsidR="00272F37" w:rsidRPr="0088692C" w:rsidRDefault="00272F37" w:rsidP="0088692C">
      <w:pPr>
        <w:jc w:val="both"/>
        <w:rPr>
          <w:rFonts w:ascii="Arial" w:eastAsia="Arial" w:hAnsi="Arial" w:cs="Arial"/>
          <w:b/>
        </w:rPr>
      </w:pPr>
      <w:r w:rsidRPr="0088692C">
        <w:rPr>
          <w:rFonts w:ascii="Arial" w:eastAsia="Arial" w:hAnsi="Arial" w:cs="Arial"/>
          <w:b/>
          <w:highlight w:val="yellow"/>
        </w:rPr>
        <w:t>Τι πρέπει να κάνω αν η κυβέρνησή μου υποβαθμίσει το καθεστώς προστασίας; Τι μπορώ να κάνω για να διατηρηθεί η αυστηρή προστασία;</w:t>
      </w:r>
    </w:p>
    <w:p w14:paraId="06DADDB8" w14:textId="6D053CDD" w:rsidR="00272F37" w:rsidRPr="0088692C" w:rsidRDefault="00272F37" w:rsidP="0088692C">
      <w:pPr>
        <w:jc w:val="both"/>
        <w:rPr>
          <w:rFonts w:ascii="Arial" w:eastAsia="Arial" w:hAnsi="Arial" w:cs="Arial"/>
        </w:rPr>
      </w:pPr>
      <w:r w:rsidRPr="0088692C">
        <w:rPr>
          <w:rFonts w:ascii="Arial" w:eastAsia="Arial" w:hAnsi="Arial" w:cs="Arial"/>
        </w:rPr>
        <w:t xml:space="preserve">Πρωτίστως, οι </w:t>
      </w:r>
      <w:r w:rsidR="004801E3">
        <w:rPr>
          <w:rFonts w:ascii="Arial" w:eastAsia="Arial" w:hAnsi="Arial" w:cs="Arial"/>
        </w:rPr>
        <w:t>Περιβαλλοντικές Οργανώσεις και Φ</w:t>
      </w:r>
      <w:r w:rsidR="00917C82">
        <w:rPr>
          <w:rFonts w:ascii="Arial" w:eastAsia="Arial" w:hAnsi="Arial" w:cs="Arial"/>
        </w:rPr>
        <w:t>ορείς</w:t>
      </w:r>
      <w:r w:rsidR="00917C82" w:rsidRPr="0088692C">
        <w:rPr>
          <w:rFonts w:ascii="Arial" w:eastAsia="Arial" w:hAnsi="Arial" w:cs="Arial"/>
        </w:rPr>
        <w:t xml:space="preserve"> </w:t>
      </w:r>
      <w:r w:rsidRPr="0088692C">
        <w:rPr>
          <w:rFonts w:ascii="Arial" w:eastAsia="Arial" w:hAnsi="Arial" w:cs="Arial"/>
        </w:rPr>
        <w:t xml:space="preserve">πρέπει να ελέγξουν και να αξιολογήσουν τα στοιχεία που υπέβαλαν τα κράτη μέλη στην Ευρωπαϊκή Επιτροπή τον Ιούλιο του 2025. Η Ευρωπαϊκή Επιτροπή σχεδιάζει να </w:t>
      </w:r>
      <w:r w:rsidR="00B4598A" w:rsidRPr="0088692C">
        <w:rPr>
          <w:rFonts w:ascii="Arial" w:eastAsia="Arial" w:hAnsi="Arial" w:cs="Arial"/>
        </w:rPr>
        <w:t>ελέγξει δημόσια</w:t>
      </w:r>
      <w:r w:rsidRPr="0088692C">
        <w:rPr>
          <w:rFonts w:ascii="Arial" w:eastAsia="Arial" w:hAnsi="Arial" w:cs="Arial"/>
        </w:rPr>
        <w:t xml:space="preserve"> </w:t>
      </w:r>
      <w:r w:rsidR="00B4598A" w:rsidRPr="0088692C">
        <w:rPr>
          <w:rFonts w:ascii="Arial" w:eastAsia="Arial" w:hAnsi="Arial" w:cs="Arial"/>
        </w:rPr>
        <w:t>τα στοιχεία</w:t>
      </w:r>
      <w:r w:rsidRPr="0088692C">
        <w:rPr>
          <w:rFonts w:ascii="Arial" w:eastAsia="Arial" w:hAnsi="Arial" w:cs="Arial"/>
        </w:rPr>
        <w:t xml:space="preserve"> τον Μάιο του 2026. </w:t>
      </w:r>
      <w:r w:rsidR="00B4598A" w:rsidRPr="0088692C">
        <w:rPr>
          <w:rFonts w:ascii="Arial" w:eastAsia="Arial" w:hAnsi="Arial" w:cs="Arial"/>
        </w:rPr>
        <w:t xml:space="preserve">Οι </w:t>
      </w:r>
      <w:r w:rsidR="00917C82">
        <w:rPr>
          <w:rFonts w:ascii="Arial" w:eastAsia="Arial" w:hAnsi="Arial" w:cs="Arial"/>
        </w:rPr>
        <w:t>Περιβαλλοντ</w:t>
      </w:r>
      <w:r w:rsidR="004801E3">
        <w:rPr>
          <w:rFonts w:ascii="Arial" w:eastAsia="Arial" w:hAnsi="Arial" w:cs="Arial"/>
        </w:rPr>
        <w:t>ικές Ο</w:t>
      </w:r>
      <w:r w:rsidR="00917C82">
        <w:rPr>
          <w:rFonts w:ascii="Arial" w:eastAsia="Arial" w:hAnsi="Arial" w:cs="Arial"/>
        </w:rPr>
        <w:t xml:space="preserve">ργανώσεις </w:t>
      </w:r>
      <w:r w:rsidR="00B4598A" w:rsidRPr="0088692C">
        <w:rPr>
          <w:rFonts w:ascii="Arial" w:eastAsia="Arial" w:hAnsi="Arial" w:cs="Arial"/>
        </w:rPr>
        <w:t xml:space="preserve">πρέπει να επισημάνουν ότι, εάν τα στοιχεία των κρατών μελών οδηγούν στο συμπέρασμα ότι δεν έχει επιτευχθεί ικανοποιητική κατάσταση διατήρησης, το κυνήγι δεν μπορεί να επιτραπεί. </w:t>
      </w:r>
      <w:r w:rsidRPr="0088692C">
        <w:rPr>
          <w:rFonts w:ascii="Arial" w:eastAsia="Arial" w:hAnsi="Arial" w:cs="Arial"/>
        </w:rPr>
        <w:t xml:space="preserve">Η Ευρωπαϊκή Επιτροπή δεν έχει καμία υποχρέωση να ελέγξει την ακρίβεια των στοιχείων αυτών και θα πραγματοποιήσει </w:t>
      </w:r>
      <w:r w:rsidR="008C1B99">
        <w:rPr>
          <w:rFonts w:ascii="Arial" w:eastAsia="Arial" w:hAnsi="Arial" w:cs="Arial"/>
        </w:rPr>
        <w:t xml:space="preserve">σχετική </w:t>
      </w:r>
      <w:r w:rsidRPr="0088692C">
        <w:rPr>
          <w:rFonts w:ascii="Arial" w:eastAsia="Arial" w:hAnsi="Arial" w:cs="Arial"/>
        </w:rPr>
        <w:t>δημόσια δι</w:t>
      </w:r>
      <w:r w:rsidR="008C1B99">
        <w:rPr>
          <w:rFonts w:ascii="Arial" w:eastAsia="Arial" w:hAnsi="Arial" w:cs="Arial"/>
        </w:rPr>
        <w:t xml:space="preserve">αβούλευση </w:t>
      </w:r>
      <w:r w:rsidRPr="0088692C">
        <w:rPr>
          <w:rFonts w:ascii="Arial" w:eastAsia="Arial" w:hAnsi="Arial" w:cs="Arial"/>
        </w:rPr>
        <w:t>τον Μάιο του 2026</w:t>
      </w:r>
      <w:r w:rsidR="00567AD7" w:rsidRPr="0088692C">
        <w:rPr>
          <w:rFonts w:ascii="Arial" w:eastAsia="Arial" w:hAnsi="Arial" w:cs="Arial"/>
        </w:rPr>
        <w:t>. Η Επιτροπή θα αναλύσει τις προτάσεις της διαβούλευσης προκειμένου να βγάλει συμπεράσματα</w:t>
      </w:r>
      <w:r w:rsidRPr="0088692C">
        <w:rPr>
          <w:rFonts w:ascii="Arial" w:eastAsia="Arial" w:hAnsi="Arial" w:cs="Arial"/>
        </w:rPr>
        <w:t xml:space="preserve"> σε περιφερειακό και ευρωπαϊκό επίπεδο. Ως εκ τούτου, οι </w:t>
      </w:r>
      <w:r w:rsidR="00917C82">
        <w:rPr>
          <w:rFonts w:ascii="Arial" w:eastAsia="Arial" w:hAnsi="Arial" w:cs="Arial"/>
        </w:rPr>
        <w:t xml:space="preserve">Περιβαλλοντικές </w:t>
      </w:r>
      <w:r w:rsidR="004801E3">
        <w:rPr>
          <w:rFonts w:ascii="Arial" w:eastAsia="Arial" w:hAnsi="Arial" w:cs="Arial"/>
        </w:rPr>
        <w:t>Ο</w:t>
      </w:r>
      <w:r w:rsidR="00917C82">
        <w:rPr>
          <w:rFonts w:ascii="Arial" w:eastAsia="Arial" w:hAnsi="Arial" w:cs="Arial"/>
        </w:rPr>
        <w:t xml:space="preserve">ργανώσεις </w:t>
      </w:r>
      <w:r w:rsidRPr="0088692C">
        <w:rPr>
          <w:rFonts w:ascii="Arial" w:eastAsia="Arial" w:hAnsi="Arial" w:cs="Arial"/>
        </w:rPr>
        <w:t>πρέπει να είναι έτοιμες να αμφισβητήσουν τα εθνικά στοιχεία κατά τη διάρκεια της δημόσιας διαβούλευσης την άνοιξη του 2026.</w:t>
      </w:r>
    </w:p>
    <w:p w14:paraId="366BB61C" w14:textId="0125DE85" w:rsidR="005D2D90" w:rsidRPr="0088692C" w:rsidRDefault="00567AD7" w:rsidP="0088692C">
      <w:pPr>
        <w:jc w:val="both"/>
        <w:rPr>
          <w:rFonts w:ascii="Arial" w:eastAsia="Arial" w:hAnsi="Arial" w:cs="Arial"/>
        </w:rPr>
      </w:pPr>
      <w:r w:rsidRPr="0088692C">
        <w:rPr>
          <w:rFonts w:ascii="Arial" w:eastAsia="Arial" w:hAnsi="Arial" w:cs="Arial"/>
        </w:rPr>
        <w:t>Η Ο</w:t>
      </w:r>
      <w:r w:rsidR="00272F37" w:rsidRPr="0088692C">
        <w:rPr>
          <w:rFonts w:ascii="Arial" w:eastAsia="Arial" w:hAnsi="Arial" w:cs="Arial"/>
        </w:rPr>
        <w:t xml:space="preserve">μάδα </w:t>
      </w:r>
      <w:r w:rsidRPr="0088692C">
        <w:rPr>
          <w:rFonts w:ascii="Arial" w:eastAsia="Arial" w:hAnsi="Arial" w:cs="Arial"/>
        </w:rPr>
        <w:t>των Ειδικών</w:t>
      </w:r>
      <w:r w:rsidR="00272F37" w:rsidRPr="0088692C">
        <w:rPr>
          <w:rFonts w:ascii="Arial" w:eastAsia="Arial" w:hAnsi="Arial" w:cs="Arial"/>
        </w:rPr>
        <w:t xml:space="preserve"> για τη </w:t>
      </w:r>
      <w:r w:rsidRPr="0088692C">
        <w:rPr>
          <w:rFonts w:ascii="Arial" w:eastAsia="Arial" w:hAnsi="Arial" w:cs="Arial"/>
        </w:rPr>
        <w:t>Δ</w:t>
      </w:r>
      <w:r w:rsidR="00272F37" w:rsidRPr="0088692C">
        <w:rPr>
          <w:rFonts w:ascii="Arial" w:eastAsia="Arial" w:hAnsi="Arial" w:cs="Arial"/>
        </w:rPr>
        <w:t xml:space="preserve">ιατήρηση των </w:t>
      </w:r>
      <w:r w:rsidRPr="0088692C">
        <w:rPr>
          <w:rFonts w:ascii="Arial" w:eastAsia="Arial" w:hAnsi="Arial" w:cs="Arial"/>
        </w:rPr>
        <w:t>Μ</w:t>
      </w:r>
      <w:r w:rsidR="00272F37" w:rsidRPr="0088692C">
        <w:rPr>
          <w:rFonts w:ascii="Arial" w:eastAsia="Arial" w:hAnsi="Arial" w:cs="Arial"/>
        </w:rPr>
        <w:t xml:space="preserve">εγάλων </w:t>
      </w:r>
      <w:r w:rsidRPr="0088692C">
        <w:rPr>
          <w:rFonts w:ascii="Arial" w:eastAsia="Arial" w:hAnsi="Arial" w:cs="Arial"/>
        </w:rPr>
        <w:t>Σαρκοφάγων</w:t>
      </w:r>
      <w:r w:rsidR="00272F37" w:rsidRPr="0088692C">
        <w:rPr>
          <w:rFonts w:ascii="Arial" w:eastAsia="Arial" w:hAnsi="Arial" w:cs="Arial"/>
        </w:rPr>
        <w:t xml:space="preserve"> της Σύμβασης της Βέρνης μπορεί να επανεξετάσει τα στοιχεία που υποβλήθηκαν στη Σύμβαση της Βέρνης, παρέχοντας ε</w:t>
      </w:r>
      <w:r w:rsidR="008C1B99">
        <w:rPr>
          <w:rFonts w:ascii="Arial" w:eastAsia="Arial" w:hAnsi="Arial" w:cs="Arial"/>
        </w:rPr>
        <w:t>πιπλέον</w:t>
      </w:r>
      <w:r w:rsidR="00272F37" w:rsidRPr="0088692C">
        <w:rPr>
          <w:rFonts w:ascii="Arial" w:eastAsia="Arial" w:hAnsi="Arial" w:cs="Arial"/>
        </w:rPr>
        <w:t xml:space="preserve"> πληροφορίες, αλλά αυτό δεν θα είναι δεσμευτικό για τα κράτη μέλη. </w:t>
      </w:r>
      <w:r w:rsidRPr="0088692C">
        <w:rPr>
          <w:rFonts w:ascii="Arial" w:eastAsia="Arial" w:hAnsi="Arial" w:cs="Arial"/>
        </w:rPr>
        <w:t xml:space="preserve">Ειδικοί </w:t>
      </w:r>
      <w:r w:rsidR="00272F37" w:rsidRPr="0088692C">
        <w:rPr>
          <w:rFonts w:ascii="Arial" w:eastAsia="Arial" w:hAnsi="Arial" w:cs="Arial"/>
        </w:rPr>
        <w:t xml:space="preserve">από την </w:t>
      </w:r>
      <w:r w:rsidRPr="0088692C">
        <w:rPr>
          <w:rFonts w:ascii="Arial" w:eastAsia="Arial" w:hAnsi="Arial" w:cs="Arial"/>
        </w:rPr>
        <w:t xml:space="preserve">Ευρωπαϊκή Πρωτοβουλία για τα Μεγάλα Σαρκοφάγα </w:t>
      </w:r>
      <w:r w:rsidR="00272F37" w:rsidRPr="0088692C">
        <w:rPr>
          <w:rFonts w:ascii="Arial" w:eastAsia="Arial" w:hAnsi="Arial" w:cs="Arial"/>
        </w:rPr>
        <w:t xml:space="preserve">ανέπτυξαν μεθοδολογικές κατευθυντήριες γραμμές για τα κράτη μέλη σχετικά με τον </w:t>
      </w:r>
      <w:hyperlink r:id="rId16" w:history="1">
        <w:r w:rsidR="00272F37" w:rsidRPr="0088692C">
          <w:rPr>
            <w:rStyle w:val="Hyperlink"/>
            <w:rFonts w:ascii="Arial" w:eastAsia="Arial" w:hAnsi="Arial" w:cs="Arial"/>
          </w:rPr>
          <w:t xml:space="preserve">τρόπο καθορισμού </w:t>
        </w:r>
        <w:r w:rsidRPr="0088692C">
          <w:rPr>
            <w:rStyle w:val="Hyperlink"/>
            <w:rFonts w:ascii="Arial" w:eastAsia="Arial" w:hAnsi="Arial" w:cs="Arial"/>
          </w:rPr>
          <w:t>Επιθυμητών Τ</w:t>
        </w:r>
        <w:r w:rsidR="00272F37" w:rsidRPr="0088692C">
          <w:rPr>
            <w:rStyle w:val="Hyperlink"/>
            <w:rFonts w:ascii="Arial" w:eastAsia="Arial" w:hAnsi="Arial" w:cs="Arial"/>
          </w:rPr>
          <w:t xml:space="preserve">ιμών </w:t>
        </w:r>
        <w:r w:rsidRPr="0088692C">
          <w:rPr>
            <w:rStyle w:val="Hyperlink"/>
            <w:rFonts w:ascii="Arial" w:eastAsia="Arial" w:hAnsi="Arial" w:cs="Arial"/>
          </w:rPr>
          <w:t>Α</w:t>
        </w:r>
        <w:r w:rsidR="00272F37" w:rsidRPr="0088692C">
          <w:rPr>
            <w:rStyle w:val="Hyperlink"/>
            <w:rFonts w:ascii="Arial" w:eastAsia="Arial" w:hAnsi="Arial" w:cs="Arial"/>
          </w:rPr>
          <w:t xml:space="preserve">ναφοράς για τα </w:t>
        </w:r>
        <w:r w:rsidRPr="0088692C">
          <w:rPr>
            <w:rStyle w:val="Hyperlink"/>
            <w:rFonts w:ascii="Arial" w:eastAsia="Arial" w:hAnsi="Arial" w:cs="Arial"/>
          </w:rPr>
          <w:t>μ</w:t>
        </w:r>
        <w:r w:rsidR="00272F37" w:rsidRPr="0088692C">
          <w:rPr>
            <w:rStyle w:val="Hyperlink"/>
            <w:rFonts w:ascii="Arial" w:eastAsia="Arial" w:hAnsi="Arial" w:cs="Arial"/>
          </w:rPr>
          <w:t xml:space="preserve">εγάλα </w:t>
        </w:r>
        <w:r w:rsidRPr="0088692C">
          <w:rPr>
            <w:rStyle w:val="Hyperlink"/>
            <w:rFonts w:ascii="Arial" w:eastAsia="Arial" w:hAnsi="Arial" w:cs="Arial"/>
          </w:rPr>
          <w:t>σ</w:t>
        </w:r>
        <w:r w:rsidR="00272F37" w:rsidRPr="0088692C">
          <w:rPr>
            <w:rStyle w:val="Hyperlink"/>
            <w:rFonts w:ascii="Arial" w:eastAsia="Arial" w:hAnsi="Arial" w:cs="Arial"/>
          </w:rPr>
          <w:t>αρκοφάγα στην Ευρώπη</w:t>
        </w:r>
      </w:hyperlink>
      <w:r w:rsidR="00272F37" w:rsidRPr="0088692C">
        <w:rPr>
          <w:rFonts w:ascii="Arial" w:eastAsia="Arial" w:hAnsi="Arial" w:cs="Arial"/>
        </w:rPr>
        <w:t>, ωστόσο τα κράτη μέλη δεν είναι υποχρεωμένα να χρησιμοποιούν αυτή τη μεθοδολογία. Εάν η αξιολόγηση καταλήξει στο συμπέρασμα ότι τα δεδομένα</w:t>
      </w:r>
      <w:r w:rsidRPr="0088692C">
        <w:rPr>
          <w:rFonts w:ascii="Arial" w:eastAsia="Arial" w:hAnsi="Arial" w:cs="Arial"/>
        </w:rPr>
        <w:t xml:space="preserve"> που υποβλήθηκαν</w:t>
      </w:r>
      <w:r w:rsidR="00272F37" w:rsidRPr="0088692C">
        <w:rPr>
          <w:rFonts w:ascii="Arial" w:eastAsia="Arial" w:hAnsi="Arial" w:cs="Arial"/>
        </w:rPr>
        <w:t xml:space="preserve"> βασίζονται σε λανθασμένες μεθοδολογίες </w:t>
      </w:r>
      <w:r w:rsidRPr="0088692C">
        <w:rPr>
          <w:rFonts w:ascii="Arial" w:eastAsia="Arial" w:hAnsi="Arial" w:cs="Arial"/>
        </w:rPr>
        <w:t>που οδηγούν σε υπερβολικά υψηλές εκτιμήσεις ή υποεκτίμηση των απειλών, η κοινωνία των πολιτών θα πρέπει να αντιδράσει και να καλέσει το κράτος μέλος να διορθώσει τα δεδομένα.</w:t>
      </w:r>
    </w:p>
    <w:p w14:paraId="0DC9CA45" w14:textId="42EA3559" w:rsidR="00567AD7" w:rsidRPr="0088692C" w:rsidRDefault="00567AD7"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Παράλληλα, η πίεση της κοινής γνώμης μπορεί να επηρεάσει τις αποφάσεις των κρατών μελών να διατηρήσουν ένα αυστηρό καθεστώς προστασίας. Οι </w:t>
      </w:r>
      <w:r w:rsidR="004801E3" w:rsidRPr="004801E3">
        <w:rPr>
          <w:rFonts w:ascii="Arial" w:eastAsia="Arial" w:hAnsi="Arial" w:cs="Arial"/>
          <w:lang w:val="el-GR"/>
        </w:rPr>
        <w:t xml:space="preserve">Περιβαλλοντικές </w:t>
      </w:r>
      <w:r w:rsidR="004801E3">
        <w:rPr>
          <w:rFonts w:ascii="Arial" w:eastAsia="Arial" w:hAnsi="Arial" w:cs="Arial"/>
          <w:lang w:val="el-GR"/>
        </w:rPr>
        <w:t>Ο</w:t>
      </w:r>
      <w:r w:rsidR="00917C82" w:rsidRPr="0036172C">
        <w:rPr>
          <w:rFonts w:ascii="Arial" w:eastAsia="Arial" w:hAnsi="Arial" w:cs="Arial"/>
          <w:lang w:val="el-GR"/>
        </w:rPr>
        <w:t xml:space="preserve">ργανώσεις </w:t>
      </w:r>
      <w:r w:rsidRPr="0088692C">
        <w:rPr>
          <w:rFonts w:ascii="Arial" w:hAnsi="Arial" w:cs="Arial"/>
          <w:sz w:val="22"/>
          <w:szCs w:val="22"/>
          <w:lang w:val="el-GR"/>
        </w:rPr>
        <w:t>πρέπει να συνεχίσουν να δραστηριοποιούνται και να κινητοποιούν το ευρύ κοινό υπέρ του λύκου.</w:t>
      </w:r>
    </w:p>
    <w:p w14:paraId="1161744D" w14:textId="04F2E634" w:rsidR="00567AD7" w:rsidRPr="0088692C" w:rsidRDefault="00567AD7" w:rsidP="0088692C">
      <w:pPr>
        <w:pStyle w:val="NormalWeb"/>
        <w:jc w:val="both"/>
        <w:rPr>
          <w:rFonts w:ascii="Arial" w:hAnsi="Arial" w:cs="Arial"/>
          <w:sz w:val="22"/>
          <w:szCs w:val="22"/>
          <w:lang w:val="el-GR"/>
        </w:rPr>
      </w:pPr>
      <w:r w:rsidRPr="0088692C">
        <w:rPr>
          <w:rFonts w:ascii="Arial" w:hAnsi="Arial" w:cs="Arial"/>
          <w:sz w:val="22"/>
          <w:szCs w:val="22"/>
          <w:lang w:val="el-GR"/>
        </w:rPr>
        <w:lastRenderedPageBreak/>
        <w:t xml:space="preserve">Είναι επίσης σημαντικό να παρακολουθείται ο τρόπος διεξαγωγής της θήρας και να εντοπίζονται τα προβλήματα (π.χ. έλλειψη κατάλληλης εκπαίδευσης ή δεξιοτήτων των κυνηγών, διαταραχές </w:t>
      </w:r>
      <w:r w:rsidR="008C1B99">
        <w:rPr>
          <w:rFonts w:ascii="Arial" w:hAnsi="Arial" w:cs="Arial"/>
          <w:sz w:val="22"/>
          <w:szCs w:val="22"/>
          <w:lang w:val="el-GR"/>
        </w:rPr>
        <w:t>στις αγέλες</w:t>
      </w:r>
      <w:r w:rsidRPr="0088692C">
        <w:rPr>
          <w:rFonts w:ascii="Arial" w:hAnsi="Arial" w:cs="Arial"/>
          <w:sz w:val="22"/>
          <w:szCs w:val="22"/>
          <w:lang w:val="el-GR"/>
        </w:rPr>
        <w:t>, χρήση απαγορευμένων μεθόδων κ.λπ.).</w:t>
      </w:r>
    </w:p>
    <w:p w14:paraId="2897BAF1" w14:textId="75760732" w:rsidR="00994C38" w:rsidRPr="0088692C" w:rsidRDefault="00994C38" w:rsidP="0088692C">
      <w:pPr>
        <w:pStyle w:val="NormalWeb"/>
        <w:jc w:val="both"/>
        <w:rPr>
          <w:rFonts w:ascii="Arial" w:hAnsi="Arial" w:cs="Arial"/>
          <w:b/>
          <w:sz w:val="22"/>
          <w:szCs w:val="22"/>
          <w:lang w:val="el-GR"/>
        </w:rPr>
      </w:pPr>
      <w:r w:rsidRPr="0088692C">
        <w:rPr>
          <w:rFonts w:ascii="Arial" w:hAnsi="Arial" w:cs="Arial"/>
          <w:b/>
          <w:sz w:val="22"/>
          <w:szCs w:val="22"/>
          <w:highlight w:val="yellow"/>
          <w:lang w:val="el-GR"/>
        </w:rPr>
        <w:t>Πώς μπορώ να προσφύγω στα δικαστήρια για να αμφισβητήσω αυτή την απόφαση ή το γεγονός ότι το κράτος μέλος δεν επιτυγχάνει ή δεν διατηρεί ευνοϊκή κατάσταση διατήρησης;</w:t>
      </w:r>
    </w:p>
    <w:p w14:paraId="1AEBBE84" w14:textId="77777777" w:rsidR="00994C38" w:rsidRPr="0088692C" w:rsidRDefault="00994C38" w:rsidP="0088692C">
      <w:pPr>
        <w:pStyle w:val="NormalWeb"/>
        <w:jc w:val="both"/>
        <w:rPr>
          <w:rFonts w:ascii="Arial" w:hAnsi="Arial" w:cs="Arial"/>
          <w:sz w:val="22"/>
          <w:szCs w:val="22"/>
          <w:lang w:val="el-GR"/>
        </w:rPr>
      </w:pPr>
      <w:r w:rsidRPr="0088692C">
        <w:rPr>
          <w:rFonts w:ascii="Arial" w:hAnsi="Arial" w:cs="Arial"/>
          <w:sz w:val="22"/>
          <w:szCs w:val="22"/>
          <w:lang w:val="el-GR"/>
        </w:rPr>
        <w:t>Η προσφυγή στα δικαστήρια αποτελεί μια πολλά υποσχόμενη οδό για την αμφισβήτηση της υποβάθμισης του καθεστώτος προστασίας του λύκου.</w:t>
      </w:r>
    </w:p>
    <w:p w14:paraId="60F89F19" w14:textId="0EB9BADA" w:rsidR="00994C38" w:rsidRPr="0088692C" w:rsidRDefault="00994C38" w:rsidP="0088692C">
      <w:pPr>
        <w:pStyle w:val="NormalWeb"/>
        <w:jc w:val="both"/>
        <w:rPr>
          <w:rFonts w:ascii="Arial" w:hAnsi="Arial" w:cs="Arial"/>
          <w:sz w:val="22"/>
          <w:szCs w:val="22"/>
          <w:lang w:val="el-GR"/>
        </w:rPr>
      </w:pPr>
      <w:r w:rsidRPr="0088692C">
        <w:rPr>
          <w:rFonts w:ascii="Arial" w:hAnsi="Arial" w:cs="Arial"/>
          <w:sz w:val="22"/>
          <w:szCs w:val="22"/>
          <w:lang w:val="el-GR"/>
        </w:rPr>
        <w:t>Ορισμένες οργανώσεις έχουν υποβάλει προσφυγές στο Δικαστήριο της Ευρωπαϊκής Ένωσης</w:t>
      </w:r>
      <w:r w:rsidR="00357683" w:rsidRPr="0088692C">
        <w:rPr>
          <w:rFonts w:ascii="Arial" w:hAnsi="Arial" w:cs="Arial"/>
          <w:sz w:val="22"/>
          <w:szCs w:val="22"/>
          <w:lang w:val="el-GR"/>
        </w:rPr>
        <w:t xml:space="preserve"> (ΔΕΕ)</w:t>
      </w:r>
      <w:r w:rsidRPr="0088692C">
        <w:rPr>
          <w:rFonts w:ascii="Arial" w:hAnsi="Arial" w:cs="Arial"/>
          <w:sz w:val="22"/>
          <w:szCs w:val="22"/>
          <w:lang w:val="el-GR"/>
        </w:rPr>
        <w:t xml:space="preserve">, υποστηρίζοντας </w:t>
      </w:r>
      <w:r w:rsidR="00357683" w:rsidRPr="0088692C">
        <w:rPr>
          <w:rFonts w:ascii="Arial" w:hAnsi="Arial" w:cs="Arial"/>
          <w:sz w:val="22"/>
          <w:szCs w:val="22"/>
          <w:lang w:val="el-GR"/>
        </w:rPr>
        <w:t>την ακαταλληλότητα</w:t>
      </w:r>
      <w:r w:rsidRPr="0088692C">
        <w:rPr>
          <w:rFonts w:ascii="Arial" w:hAnsi="Arial" w:cs="Arial"/>
          <w:sz w:val="22"/>
          <w:szCs w:val="22"/>
          <w:lang w:val="el-GR"/>
        </w:rPr>
        <w:t xml:space="preserve"> της υποβάθμισης. Η απόφαση του </w:t>
      </w:r>
      <w:r w:rsidR="00357683" w:rsidRPr="0088692C">
        <w:rPr>
          <w:rFonts w:ascii="Arial" w:hAnsi="Arial" w:cs="Arial"/>
          <w:sz w:val="22"/>
          <w:szCs w:val="22"/>
          <w:lang w:val="el-GR"/>
        </w:rPr>
        <w:t xml:space="preserve">ΔΕΕ σχετικά με </w:t>
      </w:r>
      <w:r w:rsidR="002022E8" w:rsidRPr="0088692C">
        <w:rPr>
          <w:rFonts w:ascii="Arial" w:hAnsi="Arial" w:cs="Arial"/>
          <w:sz w:val="22"/>
          <w:szCs w:val="22"/>
          <w:lang w:val="el-GR"/>
        </w:rPr>
        <w:t>το παραδεκτό</w:t>
      </w:r>
      <w:r w:rsidR="00357683" w:rsidRPr="0088692C">
        <w:rPr>
          <w:rFonts w:ascii="Arial" w:hAnsi="Arial" w:cs="Arial"/>
          <w:sz w:val="22"/>
          <w:szCs w:val="22"/>
          <w:lang w:val="el-GR"/>
        </w:rPr>
        <w:t xml:space="preserve"> </w:t>
      </w:r>
      <w:r w:rsidRPr="0088692C">
        <w:rPr>
          <w:rFonts w:ascii="Arial" w:hAnsi="Arial" w:cs="Arial"/>
          <w:sz w:val="22"/>
          <w:szCs w:val="22"/>
          <w:lang w:val="el-GR"/>
        </w:rPr>
        <w:t xml:space="preserve">αυτών των προσφυγών εκκρεμεί και θα παρακολουθήσουμε την εξέλιξη της υπόθεσης. Δεδομένου ότι η </w:t>
      </w:r>
      <w:r w:rsidR="0088692C">
        <w:rPr>
          <w:rFonts w:ascii="Arial" w:hAnsi="Arial" w:cs="Arial"/>
          <w:sz w:val="22"/>
          <w:szCs w:val="22"/>
          <w:lang w:val="el-GR"/>
        </w:rPr>
        <w:t>Ο</w:t>
      </w:r>
      <w:r w:rsidRPr="0088692C">
        <w:rPr>
          <w:rFonts w:ascii="Arial" w:hAnsi="Arial" w:cs="Arial"/>
          <w:sz w:val="22"/>
          <w:szCs w:val="22"/>
          <w:lang w:val="el-GR"/>
        </w:rPr>
        <w:t xml:space="preserve">δηγία δεν </w:t>
      </w:r>
      <w:r w:rsidR="008C1B99">
        <w:rPr>
          <w:rFonts w:ascii="Arial" w:hAnsi="Arial" w:cs="Arial"/>
          <w:sz w:val="22"/>
          <w:szCs w:val="22"/>
          <w:lang w:val="el-GR"/>
        </w:rPr>
        <w:t>επιφέρει</w:t>
      </w:r>
      <w:r w:rsidRPr="0088692C">
        <w:rPr>
          <w:rFonts w:ascii="Arial" w:hAnsi="Arial" w:cs="Arial"/>
          <w:sz w:val="22"/>
          <w:szCs w:val="22"/>
          <w:lang w:val="el-GR"/>
        </w:rPr>
        <w:t xml:space="preserve"> </w:t>
      </w:r>
      <w:r w:rsidR="008C1B99">
        <w:rPr>
          <w:rFonts w:ascii="Arial" w:hAnsi="Arial" w:cs="Arial"/>
          <w:sz w:val="22"/>
          <w:szCs w:val="22"/>
          <w:lang w:val="el-GR"/>
        </w:rPr>
        <w:t>άμεσες νομικές επιπτώσεις</w:t>
      </w:r>
      <w:r w:rsidRPr="0088692C">
        <w:rPr>
          <w:rFonts w:ascii="Arial" w:hAnsi="Arial" w:cs="Arial"/>
          <w:sz w:val="22"/>
          <w:szCs w:val="22"/>
          <w:lang w:val="el-GR"/>
        </w:rPr>
        <w:t>, πιστεύουμε ότι υπάρχει πιθανότητα αυτές οι προσφυγές να κριθούν απαράδεκτες. Αυτός είναι ο λόγος για τον οποίο αποφασίσαμε να μην διαθέσουμε πόρους για να αμφισβητήσουμε την απόφαση απευθείας ενώπιον του ΔΕ</w:t>
      </w:r>
      <w:r w:rsidR="002022E8" w:rsidRPr="0088692C">
        <w:rPr>
          <w:rFonts w:ascii="Arial" w:hAnsi="Arial" w:cs="Arial"/>
          <w:sz w:val="22"/>
          <w:szCs w:val="22"/>
          <w:lang w:val="el-GR"/>
        </w:rPr>
        <w:t>Ε</w:t>
      </w:r>
      <w:r w:rsidRPr="0088692C">
        <w:rPr>
          <w:rFonts w:ascii="Arial" w:hAnsi="Arial" w:cs="Arial"/>
          <w:sz w:val="22"/>
          <w:szCs w:val="22"/>
          <w:lang w:val="el-GR"/>
        </w:rPr>
        <w:t>.</w:t>
      </w:r>
    </w:p>
    <w:p w14:paraId="3CFC776C" w14:textId="5B746381" w:rsidR="00994C38" w:rsidRPr="0088692C" w:rsidRDefault="00994C38"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Αντ' αυτού, πιστεύουμε ότι είναι πιο </w:t>
      </w:r>
      <w:r w:rsidR="002022E8" w:rsidRPr="0088692C">
        <w:rPr>
          <w:rFonts w:ascii="Arial" w:hAnsi="Arial" w:cs="Arial"/>
          <w:sz w:val="22"/>
          <w:szCs w:val="22"/>
          <w:lang w:val="el-GR"/>
        </w:rPr>
        <w:t>χρήσιμο</w:t>
      </w:r>
      <w:r w:rsidRPr="0088692C">
        <w:rPr>
          <w:rFonts w:ascii="Arial" w:hAnsi="Arial" w:cs="Arial"/>
          <w:sz w:val="22"/>
          <w:szCs w:val="22"/>
          <w:lang w:val="el-GR"/>
        </w:rPr>
        <w:t xml:space="preserve"> για τις </w:t>
      </w:r>
      <w:r w:rsidR="004801E3">
        <w:rPr>
          <w:rFonts w:ascii="Arial" w:eastAsia="Arial" w:hAnsi="Arial" w:cs="Arial"/>
          <w:lang w:val="el-GR"/>
        </w:rPr>
        <w:t>Περιβαλλοντικές Ο</w:t>
      </w:r>
      <w:r w:rsidR="00917C82" w:rsidRPr="00952624">
        <w:rPr>
          <w:rFonts w:ascii="Arial" w:eastAsia="Arial" w:hAnsi="Arial" w:cs="Arial"/>
          <w:lang w:val="el-GR"/>
        </w:rPr>
        <w:t xml:space="preserve">ργανώσεις </w:t>
      </w:r>
      <w:r w:rsidR="00952624">
        <w:rPr>
          <w:rFonts w:ascii="Arial" w:eastAsia="Arial" w:hAnsi="Arial" w:cs="Arial"/>
          <w:lang w:val="el-GR"/>
        </w:rPr>
        <w:t>και τους σ</w:t>
      </w:r>
      <w:r w:rsidR="004801E3">
        <w:rPr>
          <w:rFonts w:ascii="Arial" w:eastAsia="Arial" w:hAnsi="Arial" w:cs="Arial"/>
          <w:lang w:val="el-GR"/>
        </w:rPr>
        <w:t>χετικούς Φ</w:t>
      </w:r>
      <w:r w:rsidR="00952624">
        <w:rPr>
          <w:rFonts w:ascii="Arial" w:eastAsia="Arial" w:hAnsi="Arial" w:cs="Arial"/>
          <w:lang w:val="el-GR"/>
        </w:rPr>
        <w:t xml:space="preserve">ορείς </w:t>
      </w:r>
      <w:r w:rsidRPr="0088692C">
        <w:rPr>
          <w:rFonts w:ascii="Arial" w:hAnsi="Arial" w:cs="Arial"/>
          <w:sz w:val="22"/>
          <w:szCs w:val="22"/>
          <w:lang w:val="el-GR"/>
        </w:rPr>
        <w:t xml:space="preserve">να αμφισβητήσουν τη νομοθεσία που </w:t>
      </w:r>
      <w:r w:rsidR="008C1B99">
        <w:rPr>
          <w:rFonts w:ascii="Arial" w:hAnsi="Arial" w:cs="Arial"/>
          <w:sz w:val="22"/>
          <w:szCs w:val="22"/>
          <w:lang w:val="el-GR"/>
        </w:rPr>
        <w:t>ενσωματώνει</w:t>
      </w:r>
      <w:r w:rsidRPr="0088692C">
        <w:rPr>
          <w:rFonts w:ascii="Arial" w:hAnsi="Arial" w:cs="Arial"/>
          <w:sz w:val="22"/>
          <w:szCs w:val="22"/>
          <w:lang w:val="el-GR"/>
        </w:rPr>
        <w:t xml:space="preserve"> την υποβάθμιση σ</w:t>
      </w:r>
      <w:r w:rsidR="008C1B99">
        <w:rPr>
          <w:rFonts w:ascii="Arial" w:hAnsi="Arial" w:cs="Arial"/>
          <w:sz w:val="22"/>
          <w:szCs w:val="22"/>
          <w:lang w:val="el-GR"/>
        </w:rPr>
        <w:t>το</w:t>
      </w:r>
      <w:r w:rsidRPr="0088692C">
        <w:rPr>
          <w:rFonts w:ascii="Arial" w:hAnsi="Arial" w:cs="Arial"/>
          <w:sz w:val="22"/>
          <w:szCs w:val="22"/>
          <w:lang w:val="el-GR"/>
        </w:rPr>
        <w:t xml:space="preserve"> εθνικό επίπεδο. Μια τέτοια ενέργεια μπορεί </w:t>
      </w:r>
      <w:r w:rsidR="0088692C" w:rsidRPr="0088692C">
        <w:rPr>
          <w:rFonts w:ascii="Arial" w:hAnsi="Arial" w:cs="Arial"/>
          <w:sz w:val="22"/>
          <w:szCs w:val="22"/>
          <w:lang w:val="el-GR"/>
        </w:rPr>
        <w:t>παράλληλα</w:t>
      </w:r>
      <w:r w:rsidRPr="0088692C">
        <w:rPr>
          <w:rFonts w:ascii="Arial" w:hAnsi="Arial" w:cs="Arial"/>
          <w:sz w:val="22"/>
          <w:szCs w:val="22"/>
          <w:lang w:val="el-GR"/>
        </w:rPr>
        <w:t xml:space="preserve"> να στοχεύει τις πολιτικές διαχείρισης του λύκου, όταν αυτές δεν είναι σύμφωνες με τις υποχρεώσεις της </w:t>
      </w:r>
      <w:r w:rsidR="0088692C" w:rsidRPr="0088692C">
        <w:rPr>
          <w:rFonts w:ascii="Arial" w:hAnsi="Arial" w:cs="Arial"/>
          <w:sz w:val="22"/>
          <w:szCs w:val="22"/>
          <w:lang w:val="el-GR"/>
        </w:rPr>
        <w:t>Ο</w:t>
      </w:r>
      <w:r w:rsidRPr="0088692C">
        <w:rPr>
          <w:rFonts w:ascii="Arial" w:hAnsi="Arial" w:cs="Arial"/>
          <w:sz w:val="22"/>
          <w:szCs w:val="22"/>
          <w:lang w:val="el-GR"/>
        </w:rPr>
        <w:t xml:space="preserve">δηγίας για τους </w:t>
      </w:r>
      <w:r w:rsidR="0088692C" w:rsidRPr="0088692C">
        <w:rPr>
          <w:rFonts w:ascii="Arial" w:hAnsi="Arial" w:cs="Arial"/>
          <w:sz w:val="22"/>
          <w:szCs w:val="22"/>
          <w:lang w:val="el-GR"/>
        </w:rPr>
        <w:t>Ο</w:t>
      </w:r>
      <w:r w:rsidRPr="0088692C">
        <w:rPr>
          <w:rFonts w:ascii="Arial" w:hAnsi="Arial" w:cs="Arial"/>
          <w:sz w:val="22"/>
          <w:szCs w:val="22"/>
          <w:lang w:val="el-GR"/>
        </w:rPr>
        <w:t xml:space="preserve">ικοτόπους όσον αφορά τα προστατευόμενα είδη του παραρτήματος </w:t>
      </w:r>
      <w:r w:rsidRPr="0088692C">
        <w:rPr>
          <w:rFonts w:ascii="Arial" w:hAnsi="Arial" w:cs="Arial"/>
          <w:sz w:val="22"/>
          <w:szCs w:val="22"/>
        </w:rPr>
        <w:t>V</w:t>
      </w:r>
      <w:r w:rsidRPr="0088692C">
        <w:rPr>
          <w:rFonts w:ascii="Arial" w:hAnsi="Arial" w:cs="Arial"/>
          <w:sz w:val="22"/>
          <w:szCs w:val="22"/>
          <w:lang w:val="el-GR"/>
        </w:rPr>
        <w:t>. Το εθνικό δικαστήριο θα μπορούσε τότε να παραπέμψει το ζήτημα, όταν αφορά νομοθεσία της ΕΕ στο ΔΕ</w:t>
      </w:r>
      <w:r w:rsidR="0088692C" w:rsidRPr="0088692C">
        <w:rPr>
          <w:rFonts w:ascii="Arial" w:hAnsi="Arial" w:cs="Arial"/>
          <w:sz w:val="22"/>
          <w:szCs w:val="22"/>
          <w:lang w:val="el-GR"/>
        </w:rPr>
        <w:t>Ε</w:t>
      </w:r>
      <w:r w:rsidRPr="0088692C">
        <w:rPr>
          <w:rFonts w:ascii="Arial" w:hAnsi="Arial" w:cs="Arial"/>
          <w:sz w:val="22"/>
          <w:szCs w:val="22"/>
          <w:lang w:val="el-GR"/>
        </w:rPr>
        <w:t>. Είναι σημαντικό να σημειωθεί ότι τα εθνικά δικαστήρια δεν έχουν την υποχρέωση να παραπέμψουν το ζήτημα στο ΔΕ</w:t>
      </w:r>
      <w:r w:rsidR="0088692C" w:rsidRPr="0088692C">
        <w:rPr>
          <w:rFonts w:ascii="Arial" w:hAnsi="Arial" w:cs="Arial"/>
          <w:sz w:val="22"/>
          <w:szCs w:val="22"/>
          <w:lang w:val="el-GR"/>
        </w:rPr>
        <w:t>Ε</w:t>
      </w:r>
      <w:r w:rsidRPr="0088692C">
        <w:rPr>
          <w:rFonts w:ascii="Arial" w:hAnsi="Arial" w:cs="Arial"/>
          <w:sz w:val="22"/>
          <w:szCs w:val="22"/>
          <w:lang w:val="el-GR"/>
        </w:rPr>
        <w:t>, εκτός εάν πρόκειται για δικαστήριο τελευταίας προσφυγής, πράγμα που σημαίνει ότι έχουν ήδη αναληφθεί πολλά μέτρα, διαδικασίες και πόροι.</w:t>
      </w:r>
    </w:p>
    <w:p w14:paraId="67311375" w14:textId="0CF320C7" w:rsidR="00994C38" w:rsidRPr="0088692C" w:rsidRDefault="0088692C"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Ελπίζουμε να εκπονήσουμε έναν οδηγό που θα εξηγεί τι πρέπει να λάβουν υπόψη οι </w:t>
      </w:r>
      <w:r w:rsidR="00917C82" w:rsidRPr="00952624">
        <w:rPr>
          <w:rFonts w:ascii="Arial" w:eastAsia="Arial" w:hAnsi="Arial" w:cs="Arial"/>
          <w:lang w:val="el-GR"/>
        </w:rPr>
        <w:t>Περ</w:t>
      </w:r>
      <w:r w:rsidR="004801E3">
        <w:rPr>
          <w:rFonts w:ascii="Arial" w:eastAsia="Arial" w:hAnsi="Arial" w:cs="Arial"/>
          <w:lang w:val="el-GR"/>
        </w:rPr>
        <w:t>ιβαλλοντικές Ο</w:t>
      </w:r>
      <w:r w:rsidR="00917C82" w:rsidRPr="00952624">
        <w:rPr>
          <w:rFonts w:ascii="Arial" w:eastAsia="Arial" w:hAnsi="Arial" w:cs="Arial"/>
          <w:lang w:val="el-GR"/>
        </w:rPr>
        <w:t xml:space="preserve">ργανώσεις </w:t>
      </w:r>
      <w:r w:rsidRPr="0088692C">
        <w:rPr>
          <w:rFonts w:ascii="Arial" w:hAnsi="Arial" w:cs="Arial"/>
          <w:sz w:val="22"/>
          <w:szCs w:val="22"/>
          <w:lang w:val="el-GR"/>
        </w:rPr>
        <w:t>πριν εμπλακούν σε αυτή τη διαδικασία, περιγράφοντας λεπτομερώς τις συνθήκες για κάθε κράτος μέλος ανάλογα με τ</w:t>
      </w:r>
      <w:r w:rsidRPr="0088692C">
        <w:rPr>
          <w:rFonts w:ascii="Arial" w:hAnsi="Arial" w:cs="Arial"/>
          <w:sz w:val="22"/>
          <w:szCs w:val="22"/>
        </w:rPr>
        <w:t>o</w:t>
      </w:r>
      <w:r w:rsidRPr="0088692C">
        <w:rPr>
          <w:rFonts w:ascii="Arial" w:hAnsi="Arial" w:cs="Arial"/>
          <w:sz w:val="22"/>
          <w:szCs w:val="22"/>
          <w:lang w:val="el-GR"/>
        </w:rPr>
        <w:t xml:space="preserve"> εθνικό νομικό πλαίσιο. </w:t>
      </w:r>
      <w:r w:rsidR="004801E3">
        <w:rPr>
          <w:rFonts w:ascii="Arial" w:hAnsi="Arial" w:cs="Arial"/>
          <w:sz w:val="22"/>
          <w:szCs w:val="22"/>
          <w:lang w:val="el-GR"/>
        </w:rPr>
        <w:t>Το δίκτυο Περιβαλλοντικών Ο</w:t>
      </w:r>
      <w:r w:rsidR="00952624">
        <w:rPr>
          <w:rFonts w:ascii="Arial" w:hAnsi="Arial" w:cs="Arial"/>
          <w:sz w:val="22"/>
          <w:szCs w:val="22"/>
          <w:lang w:val="el-GR"/>
        </w:rPr>
        <w:t xml:space="preserve">ργανώσεων </w:t>
      </w:r>
      <w:r w:rsidRPr="0088692C">
        <w:rPr>
          <w:rFonts w:ascii="Arial" w:hAnsi="Arial" w:cs="Arial"/>
          <w:sz w:val="22"/>
          <w:szCs w:val="22"/>
          <w:lang w:val="el-GR"/>
        </w:rPr>
        <w:t xml:space="preserve">των Βρυξελλών </w:t>
      </w:r>
      <w:r w:rsidR="00952624">
        <w:rPr>
          <w:rFonts w:ascii="Arial" w:hAnsi="Arial" w:cs="Arial"/>
          <w:sz w:val="22"/>
          <w:szCs w:val="22"/>
          <w:lang w:val="el-GR"/>
        </w:rPr>
        <w:t>μπορεί</w:t>
      </w:r>
      <w:r w:rsidR="00952624" w:rsidRPr="0088692C">
        <w:rPr>
          <w:rFonts w:ascii="Arial" w:hAnsi="Arial" w:cs="Arial"/>
          <w:sz w:val="22"/>
          <w:szCs w:val="22"/>
          <w:lang w:val="el-GR"/>
        </w:rPr>
        <w:t xml:space="preserve"> </w:t>
      </w:r>
      <w:r w:rsidRPr="0088692C">
        <w:rPr>
          <w:rFonts w:ascii="Arial" w:hAnsi="Arial" w:cs="Arial"/>
          <w:sz w:val="22"/>
          <w:szCs w:val="22"/>
          <w:lang w:val="el-GR"/>
        </w:rPr>
        <w:t>επίσης να προσφέρ</w:t>
      </w:r>
      <w:r w:rsidR="00952624">
        <w:rPr>
          <w:rFonts w:ascii="Arial" w:hAnsi="Arial" w:cs="Arial"/>
          <w:sz w:val="22"/>
          <w:szCs w:val="22"/>
          <w:lang w:val="el-GR"/>
        </w:rPr>
        <w:t>ει</w:t>
      </w:r>
      <w:r w:rsidRPr="0088692C">
        <w:rPr>
          <w:rFonts w:ascii="Arial" w:hAnsi="Arial" w:cs="Arial"/>
          <w:sz w:val="22"/>
          <w:szCs w:val="22"/>
          <w:lang w:val="el-GR"/>
        </w:rPr>
        <w:t xml:space="preserve"> υποστήριξη παρέχοντας εμπειρογνωμοσύνη και επιχειρήματα σχετικά με τους λόγους για τους οποίους η νομοθεσία δεν συμμορφώνεται με τις Συνθήκες της ΕΕ ή οι εθνικές πολιτικές διαχείρισης των λύκων δεν συμμορφώνονται με την νομοθεσία της ΕΕ.</w:t>
      </w:r>
    </w:p>
    <w:p w14:paraId="62B764C8" w14:textId="07D9A6B9" w:rsidR="00567AD7" w:rsidRPr="0088692C" w:rsidRDefault="0088692C" w:rsidP="0088692C">
      <w:pPr>
        <w:pStyle w:val="NormalWeb"/>
        <w:jc w:val="both"/>
        <w:rPr>
          <w:rFonts w:ascii="Arial" w:hAnsi="Arial" w:cs="Arial"/>
          <w:sz w:val="22"/>
          <w:szCs w:val="22"/>
          <w:lang w:val="el-GR"/>
        </w:rPr>
      </w:pPr>
      <w:r w:rsidRPr="0088692C">
        <w:rPr>
          <w:rFonts w:ascii="Arial" w:hAnsi="Arial" w:cs="Arial"/>
          <w:sz w:val="22"/>
          <w:szCs w:val="22"/>
          <w:lang w:val="el-GR"/>
        </w:rPr>
        <w:t xml:space="preserve">Ως πρώτο βήμα, είναι σημαντικό να αξιολογήσετε τη σκοπιμότητα μιας τέτοιας δράσης στη χώρα σας και να επικοινωνήσετε με αντίστοιχες </w:t>
      </w:r>
      <w:r w:rsidR="004801E3">
        <w:rPr>
          <w:rFonts w:ascii="Arial" w:eastAsia="Arial" w:hAnsi="Arial" w:cs="Arial"/>
          <w:lang w:val="el-GR"/>
        </w:rPr>
        <w:t>Περιβαλλοντικές Ο</w:t>
      </w:r>
      <w:r w:rsidR="00917C82" w:rsidRPr="00952624">
        <w:rPr>
          <w:rFonts w:ascii="Arial" w:eastAsia="Arial" w:hAnsi="Arial" w:cs="Arial"/>
          <w:lang w:val="el-GR"/>
        </w:rPr>
        <w:t xml:space="preserve">ργανώσεις </w:t>
      </w:r>
      <w:r w:rsidRPr="0088692C">
        <w:rPr>
          <w:rFonts w:ascii="Arial" w:hAnsi="Arial" w:cs="Arial"/>
          <w:sz w:val="22"/>
          <w:szCs w:val="22"/>
          <w:lang w:val="el-GR"/>
        </w:rPr>
        <w:t xml:space="preserve">για να </w:t>
      </w:r>
      <w:r w:rsidR="008C1B99">
        <w:rPr>
          <w:rFonts w:ascii="Arial" w:hAnsi="Arial" w:cs="Arial"/>
          <w:sz w:val="22"/>
          <w:szCs w:val="22"/>
          <w:lang w:val="el-GR"/>
        </w:rPr>
        <w:t>εξετάσετε</w:t>
      </w:r>
      <w:r w:rsidRPr="0088692C">
        <w:rPr>
          <w:rFonts w:ascii="Arial" w:hAnsi="Arial" w:cs="Arial"/>
          <w:sz w:val="22"/>
          <w:szCs w:val="22"/>
          <w:lang w:val="el-GR"/>
        </w:rPr>
        <w:t xml:space="preserve"> τις ευκαιρίες συνεργασίας.</w:t>
      </w:r>
    </w:p>
    <w:p w14:paraId="30A234B2" w14:textId="77777777" w:rsidR="00567AD7" w:rsidRPr="0088692C" w:rsidRDefault="00567AD7" w:rsidP="0088692C">
      <w:pPr>
        <w:pStyle w:val="NormalWeb"/>
        <w:jc w:val="both"/>
        <w:rPr>
          <w:rFonts w:ascii="Arial" w:hAnsi="Arial" w:cs="Arial"/>
          <w:sz w:val="22"/>
          <w:szCs w:val="22"/>
          <w:lang w:val="el-GR"/>
        </w:rPr>
      </w:pPr>
    </w:p>
    <w:p w14:paraId="2D016D09" w14:textId="77777777" w:rsidR="00567AD7" w:rsidRPr="0088692C" w:rsidRDefault="00567AD7" w:rsidP="0088692C">
      <w:pPr>
        <w:jc w:val="both"/>
        <w:rPr>
          <w:rFonts w:ascii="Arial" w:eastAsia="Arial" w:hAnsi="Arial" w:cs="Arial"/>
        </w:rPr>
      </w:pPr>
    </w:p>
    <w:sectPr w:rsidR="00567AD7" w:rsidRPr="0088692C" w:rsidSect="00313C2C">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Maria" w:date="2025-12-02T18:51:00Z" w:initials="M">
    <w:p w14:paraId="61A65829" w14:textId="77777777" w:rsidR="00F51630" w:rsidRDefault="00F51630">
      <w:pPr>
        <w:pStyle w:val="CommentText"/>
      </w:pPr>
      <w:r>
        <w:rPr>
          <w:rStyle w:val="CommentReference"/>
        </w:rPr>
        <w:annotationRef/>
      </w:r>
      <w:r>
        <w:t>Να μπει σύνδεσμος για την επιστολή.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A6582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A65829" w16cid:durableId="61A658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1247B" w14:textId="77777777" w:rsidR="00D8290F" w:rsidRDefault="00D8290F" w:rsidP="009062FE">
      <w:pPr>
        <w:spacing w:after="0" w:line="240" w:lineRule="auto"/>
      </w:pPr>
      <w:r>
        <w:separator/>
      </w:r>
    </w:p>
  </w:endnote>
  <w:endnote w:type="continuationSeparator" w:id="0">
    <w:p w14:paraId="176C4F40" w14:textId="77777777" w:rsidR="00D8290F" w:rsidRDefault="00D8290F" w:rsidP="00906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09B54" w14:textId="77777777" w:rsidR="00D8290F" w:rsidRDefault="00D8290F" w:rsidP="009062FE">
      <w:pPr>
        <w:spacing w:after="0" w:line="240" w:lineRule="auto"/>
      </w:pPr>
      <w:r>
        <w:separator/>
      </w:r>
    </w:p>
  </w:footnote>
  <w:footnote w:type="continuationSeparator" w:id="0">
    <w:p w14:paraId="434CE879" w14:textId="77777777" w:rsidR="00D8290F" w:rsidRDefault="00D8290F" w:rsidP="009062FE">
      <w:pPr>
        <w:spacing w:after="0" w:line="240" w:lineRule="auto"/>
      </w:pPr>
      <w:r>
        <w:continuationSeparator/>
      </w:r>
    </w:p>
  </w:footnote>
  <w:footnote w:id="1">
    <w:p w14:paraId="1AB2B45E" w14:textId="4B7551FB" w:rsidR="009062FE" w:rsidRPr="00075E08" w:rsidRDefault="009062FE" w:rsidP="009062FE">
      <w:pPr>
        <w:spacing w:after="0" w:line="240" w:lineRule="auto"/>
        <w:rPr>
          <w:sz w:val="16"/>
          <w:szCs w:val="16"/>
        </w:rPr>
      </w:pPr>
      <w:r>
        <w:rPr>
          <w:rStyle w:val="FootnoteReference"/>
        </w:rPr>
        <w:footnoteRef/>
      </w:r>
      <w:r w:rsidRPr="00075E08">
        <w:t xml:space="preserve"> </w:t>
      </w:r>
      <w:r w:rsidR="00075E08" w:rsidRPr="00075E08">
        <w:rPr>
          <w:sz w:val="16"/>
          <w:szCs w:val="16"/>
        </w:rPr>
        <w:t xml:space="preserve">Ο Ευρωπαίος Διαμεσολαβητής </w:t>
      </w:r>
      <w:r w:rsidR="00000000">
        <w:fldChar w:fldCharType="begin"/>
      </w:r>
      <w:r w:rsidR="00000000">
        <w:instrText>HYPERLINK "https://www.ombudsman.europa.eu/en/news-document/en/210909"</w:instrText>
      </w:r>
      <w:r w:rsidR="00000000">
        <w:fldChar w:fldCharType="separate"/>
      </w:r>
      <w:r w:rsidR="00075E08" w:rsidRPr="00075E08">
        <w:rPr>
          <w:rStyle w:val="Hyperlink"/>
          <w:sz w:val="16"/>
          <w:szCs w:val="16"/>
        </w:rPr>
        <w:t xml:space="preserve">έκλεισε την καταγγελία της </w:t>
      </w:r>
      <w:proofErr w:type="spellStart"/>
      <w:r w:rsidR="00075E08" w:rsidRPr="00075E08">
        <w:rPr>
          <w:rStyle w:val="Hyperlink"/>
          <w:sz w:val="16"/>
          <w:szCs w:val="16"/>
          <w:lang w:val="en-US"/>
        </w:rPr>
        <w:t>ClientEarth</w:t>
      </w:r>
      <w:proofErr w:type="spellEnd"/>
      <w:r w:rsidR="00000000">
        <w:rPr>
          <w:rStyle w:val="Hyperlink"/>
          <w:sz w:val="16"/>
          <w:szCs w:val="16"/>
          <w:lang w:val="en-US"/>
        </w:rPr>
        <w:fldChar w:fldCharType="end"/>
      </w:r>
      <w:r w:rsidR="00075E08" w:rsidRPr="00075E08">
        <w:rPr>
          <w:sz w:val="16"/>
          <w:szCs w:val="16"/>
        </w:rPr>
        <w:t>, επικαλούμενος μια εκκρεμή υπόθεση του Δικαστηρίου της Ευρωπαϊκής Ένωσης για το ίδιο θέμα (</w:t>
      </w:r>
      <w:r w:rsidR="00000000">
        <w:fldChar w:fldCharType="begin"/>
      </w:r>
      <w:r w:rsidR="00000000">
        <w:instrText>HYPERLINK "https://eur-lex.europa.eu/eli/C/2025/922/oj/eng"</w:instrText>
      </w:r>
      <w:r w:rsidR="00000000">
        <w:fldChar w:fldCharType="separate"/>
      </w:r>
      <w:r w:rsidR="00075E08" w:rsidRPr="00075E08">
        <w:rPr>
          <w:rStyle w:val="Hyperlink"/>
          <w:sz w:val="16"/>
          <w:szCs w:val="16"/>
          <w:lang w:val="en-US"/>
        </w:rPr>
        <w:t>T</w:t>
      </w:r>
      <w:r w:rsidR="00075E08" w:rsidRPr="00075E08">
        <w:rPr>
          <w:rStyle w:val="Hyperlink"/>
          <w:sz w:val="16"/>
          <w:szCs w:val="16"/>
        </w:rPr>
        <w:t>-634/24</w:t>
      </w:r>
      <w:r w:rsidR="00000000">
        <w:rPr>
          <w:rStyle w:val="Hyperlink"/>
          <w:sz w:val="16"/>
          <w:szCs w:val="16"/>
        </w:rPr>
        <w:fldChar w:fldCharType="end"/>
      </w:r>
      <w:r w:rsidR="00075E08" w:rsidRPr="00075E08">
        <w:rPr>
          <w:sz w:val="16"/>
          <w:szCs w:val="16"/>
        </w:rPr>
        <w:t xml:space="preserve">). Υποστήριξε ότι ο Διαμεσολαβητής «δεν μπορεί να εξετάσει ζητήματα που έχουν ήδη εξεταστεί από τα δικαστήρια, καθώς αυτό θα υπονόμευε τον καταμερισμό αρμοδιοτήτων που προβλέπεται στο δίκαιο της ΕΕ». Αυτό αποτελεί </w:t>
      </w:r>
      <w:r w:rsidR="00075E08">
        <w:rPr>
          <w:sz w:val="16"/>
          <w:szCs w:val="16"/>
        </w:rPr>
        <w:t xml:space="preserve">μία </w:t>
      </w:r>
      <w:r w:rsidR="00075E08" w:rsidRPr="00075E08">
        <w:rPr>
          <w:sz w:val="16"/>
          <w:szCs w:val="16"/>
        </w:rPr>
        <w:t>χαμένη ευκαιρία, καθώς οι συστάσεις του Διαμεσολαβητή, αν και δεν είναι δεσμευτικές, αποτελούν σημαντικό εργαλείο για να διασφαλιστεί ότι τα θεσμικά όργανα της ΕΕ τηρούν τα διαδικαστικά πρότυπα.</w:t>
      </w:r>
    </w:p>
    <w:p w14:paraId="1B7C74CF" w14:textId="77777777" w:rsidR="00075E08" w:rsidRPr="00075E08" w:rsidRDefault="00075E08" w:rsidP="009062FE">
      <w:pPr>
        <w:spacing w:after="0" w:line="240" w:lineRule="auto"/>
        <w:rPr>
          <w:sz w:val="20"/>
          <w:szCs w:val="20"/>
        </w:rPr>
      </w:pPr>
    </w:p>
  </w:footnote>
  <w:footnote w:id="2">
    <w:p w14:paraId="54BE4214" w14:textId="6373B724" w:rsidR="00F51630" w:rsidRPr="00AE6087" w:rsidRDefault="00F51630">
      <w:pPr>
        <w:pStyle w:val="FootnoteText"/>
      </w:pPr>
      <w:r>
        <w:rPr>
          <w:rStyle w:val="FootnoteReference"/>
        </w:rPr>
        <w:footnoteRef/>
      </w:r>
      <w:r w:rsidRPr="00AE6087">
        <w:t xml:space="preserve"> </w:t>
      </w:r>
      <w:r w:rsidR="00AE6087">
        <w:t>Τα υποβληθέντα δεδομένα βρίσκονται εδώ</w:t>
      </w:r>
      <w:r w:rsidRPr="00AE6087">
        <w:t xml:space="preserve">: </w:t>
      </w:r>
      <w:hyperlink r:id="rId1">
        <w:r w:rsidRPr="00F51630">
          <w:rPr>
            <w:color w:val="1155CC"/>
            <w:u w:val="single"/>
            <w:lang w:val="en-US"/>
          </w:rPr>
          <w:t>https</w:t>
        </w:r>
        <w:r w:rsidRPr="00AE6087">
          <w:rPr>
            <w:color w:val="1155CC"/>
            <w:u w:val="single"/>
          </w:rPr>
          <w:t>://</w:t>
        </w:r>
        <w:proofErr w:type="spellStart"/>
        <w:r w:rsidRPr="00F51630">
          <w:rPr>
            <w:color w:val="1155CC"/>
            <w:u w:val="single"/>
            <w:lang w:val="en-US"/>
          </w:rPr>
          <w:t>reportnet</w:t>
        </w:r>
        <w:proofErr w:type="spellEnd"/>
        <w:r w:rsidRPr="00AE6087">
          <w:rPr>
            <w:color w:val="1155CC"/>
            <w:u w:val="single"/>
          </w:rPr>
          <w:t>.</w:t>
        </w:r>
        <w:proofErr w:type="spellStart"/>
        <w:r w:rsidRPr="00F51630">
          <w:rPr>
            <w:color w:val="1155CC"/>
            <w:u w:val="single"/>
            <w:lang w:val="en-US"/>
          </w:rPr>
          <w:t>europa</w:t>
        </w:r>
        <w:proofErr w:type="spellEnd"/>
        <w:r w:rsidRPr="00AE6087">
          <w:rPr>
            <w:color w:val="1155CC"/>
            <w:u w:val="single"/>
          </w:rPr>
          <w:t>.</w:t>
        </w:r>
        <w:proofErr w:type="spellStart"/>
        <w:r w:rsidRPr="00F51630">
          <w:rPr>
            <w:color w:val="1155CC"/>
            <w:u w:val="single"/>
            <w:lang w:val="en-US"/>
          </w:rPr>
          <w:t>eu</w:t>
        </w:r>
        <w:proofErr w:type="spellEnd"/>
        <w:r w:rsidRPr="00AE6087">
          <w:rPr>
            <w:color w:val="1155CC"/>
            <w:u w:val="single"/>
          </w:rPr>
          <w:t>/</w:t>
        </w:r>
        <w:r w:rsidRPr="00F51630">
          <w:rPr>
            <w:color w:val="1155CC"/>
            <w:u w:val="single"/>
            <w:lang w:val="en-US"/>
          </w:rPr>
          <w:t>public</w:t>
        </w:r>
        <w:r w:rsidRPr="00AE6087">
          <w:rPr>
            <w:color w:val="1155CC"/>
            <w:u w:val="single"/>
          </w:rPr>
          <w:t>/</w:t>
        </w:r>
        <w:r w:rsidRPr="00F51630">
          <w:rPr>
            <w:color w:val="1155CC"/>
            <w:u w:val="single"/>
            <w:lang w:val="en-US"/>
          </w:rPr>
          <w:t>dataflow</w:t>
        </w:r>
        <w:r w:rsidRPr="00AE6087">
          <w:rPr>
            <w:color w:val="1155CC"/>
            <w:u w:val="single"/>
          </w:rPr>
          <w:t>/1525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E0C"/>
    <w:multiLevelType w:val="hybridMultilevel"/>
    <w:tmpl w:val="EBE6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844A9"/>
    <w:multiLevelType w:val="multilevel"/>
    <w:tmpl w:val="7F7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45E65"/>
    <w:multiLevelType w:val="hybridMultilevel"/>
    <w:tmpl w:val="37E0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D3969"/>
    <w:multiLevelType w:val="hybridMultilevel"/>
    <w:tmpl w:val="4894B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4E48A1"/>
    <w:multiLevelType w:val="hybridMultilevel"/>
    <w:tmpl w:val="683677DA"/>
    <w:lvl w:ilvl="0" w:tplc="63BA5AE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D87621"/>
    <w:multiLevelType w:val="hybridMultilevel"/>
    <w:tmpl w:val="2D8C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414315">
    <w:abstractNumId w:val="1"/>
  </w:num>
  <w:num w:numId="2" w16cid:durableId="773865800">
    <w:abstractNumId w:val="3"/>
  </w:num>
  <w:num w:numId="3" w16cid:durableId="1489903921">
    <w:abstractNumId w:val="2"/>
  </w:num>
  <w:num w:numId="4" w16cid:durableId="1457992669">
    <w:abstractNumId w:val="5"/>
  </w:num>
  <w:num w:numId="5" w16cid:durableId="678190959">
    <w:abstractNumId w:val="0"/>
  </w:num>
  <w:num w:numId="6" w16cid:durableId="133884563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Ιάσων Μπάντιος">
    <w15:presenceInfo w15:providerId="Windows Live" w15:userId="671b04fb257a21cc"/>
  </w15:person>
  <w15:person w15:author="Maria">
    <w15:presenceInfo w15:providerId="Windows Live" w15:userId="9c9d13f1bf81f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2C"/>
    <w:rsid w:val="00027487"/>
    <w:rsid w:val="00075E08"/>
    <w:rsid w:val="00122B8A"/>
    <w:rsid w:val="0014259E"/>
    <w:rsid w:val="001502FF"/>
    <w:rsid w:val="00170F91"/>
    <w:rsid w:val="002022E8"/>
    <w:rsid w:val="002278BC"/>
    <w:rsid w:val="00272F37"/>
    <w:rsid w:val="00277ED5"/>
    <w:rsid w:val="00313C2C"/>
    <w:rsid w:val="00332D27"/>
    <w:rsid w:val="00357683"/>
    <w:rsid w:val="0036172C"/>
    <w:rsid w:val="00476877"/>
    <w:rsid w:val="004801E3"/>
    <w:rsid w:val="004D7B58"/>
    <w:rsid w:val="004E72AA"/>
    <w:rsid w:val="005415A6"/>
    <w:rsid w:val="00567AD7"/>
    <w:rsid w:val="005D2D90"/>
    <w:rsid w:val="0060483E"/>
    <w:rsid w:val="007479B7"/>
    <w:rsid w:val="00754644"/>
    <w:rsid w:val="007E7F3F"/>
    <w:rsid w:val="0088692C"/>
    <w:rsid w:val="008A6A18"/>
    <w:rsid w:val="008B5D11"/>
    <w:rsid w:val="008C1B99"/>
    <w:rsid w:val="008C4469"/>
    <w:rsid w:val="009062FE"/>
    <w:rsid w:val="0091269C"/>
    <w:rsid w:val="00917C82"/>
    <w:rsid w:val="00952624"/>
    <w:rsid w:val="00994C38"/>
    <w:rsid w:val="00A41D7F"/>
    <w:rsid w:val="00AE04CE"/>
    <w:rsid w:val="00AE6087"/>
    <w:rsid w:val="00B159BC"/>
    <w:rsid w:val="00B4598A"/>
    <w:rsid w:val="00BB4B5F"/>
    <w:rsid w:val="00BF7B95"/>
    <w:rsid w:val="00C01655"/>
    <w:rsid w:val="00C15482"/>
    <w:rsid w:val="00CD3CE5"/>
    <w:rsid w:val="00D706D2"/>
    <w:rsid w:val="00D8290F"/>
    <w:rsid w:val="00EA38AC"/>
    <w:rsid w:val="00F51630"/>
    <w:rsid w:val="00F7536C"/>
    <w:rsid w:val="00F81DEB"/>
    <w:rsid w:val="00F86AFA"/>
    <w:rsid w:val="00FF42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064D"/>
  <w15:chartTrackingRefBased/>
  <w15:docId w15:val="{53C8BFF3-052B-491D-A2C8-A1E6505B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13C2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3C2C"/>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313C2C"/>
    <w:rPr>
      <w:b/>
      <w:bCs/>
    </w:rPr>
  </w:style>
  <w:style w:type="paragraph" w:styleId="NormalWeb">
    <w:name w:val="Normal (Web)"/>
    <w:basedOn w:val="Normal"/>
    <w:uiPriority w:val="99"/>
    <w:semiHidden/>
    <w:unhideWhenUsed/>
    <w:rsid w:val="00313C2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502FF"/>
    <w:rPr>
      <w:color w:val="0563C1" w:themeColor="hyperlink"/>
      <w:u w:val="single"/>
    </w:rPr>
  </w:style>
  <w:style w:type="character" w:styleId="CommentReference">
    <w:name w:val="annotation reference"/>
    <w:basedOn w:val="DefaultParagraphFont"/>
    <w:uiPriority w:val="99"/>
    <w:semiHidden/>
    <w:unhideWhenUsed/>
    <w:rsid w:val="009062FE"/>
    <w:rPr>
      <w:sz w:val="16"/>
      <w:szCs w:val="16"/>
    </w:rPr>
  </w:style>
  <w:style w:type="paragraph" w:styleId="CommentText">
    <w:name w:val="annotation text"/>
    <w:basedOn w:val="Normal"/>
    <w:link w:val="CommentTextChar"/>
    <w:uiPriority w:val="99"/>
    <w:semiHidden/>
    <w:unhideWhenUsed/>
    <w:rsid w:val="009062FE"/>
    <w:pPr>
      <w:spacing w:line="240" w:lineRule="auto"/>
    </w:pPr>
    <w:rPr>
      <w:sz w:val="20"/>
      <w:szCs w:val="20"/>
    </w:rPr>
  </w:style>
  <w:style w:type="character" w:customStyle="1" w:styleId="CommentTextChar">
    <w:name w:val="Comment Text Char"/>
    <w:basedOn w:val="DefaultParagraphFont"/>
    <w:link w:val="CommentText"/>
    <w:uiPriority w:val="99"/>
    <w:semiHidden/>
    <w:rsid w:val="009062FE"/>
    <w:rPr>
      <w:sz w:val="20"/>
      <w:szCs w:val="20"/>
    </w:rPr>
  </w:style>
  <w:style w:type="paragraph" w:styleId="CommentSubject">
    <w:name w:val="annotation subject"/>
    <w:basedOn w:val="CommentText"/>
    <w:next w:val="CommentText"/>
    <w:link w:val="CommentSubjectChar"/>
    <w:uiPriority w:val="99"/>
    <w:semiHidden/>
    <w:unhideWhenUsed/>
    <w:rsid w:val="009062FE"/>
    <w:rPr>
      <w:b/>
      <w:bCs/>
    </w:rPr>
  </w:style>
  <w:style w:type="character" w:customStyle="1" w:styleId="CommentSubjectChar">
    <w:name w:val="Comment Subject Char"/>
    <w:basedOn w:val="CommentTextChar"/>
    <w:link w:val="CommentSubject"/>
    <w:uiPriority w:val="99"/>
    <w:semiHidden/>
    <w:rsid w:val="009062FE"/>
    <w:rPr>
      <w:b/>
      <w:bCs/>
      <w:sz w:val="20"/>
      <w:szCs w:val="20"/>
    </w:rPr>
  </w:style>
  <w:style w:type="paragraph" w:styleId="BalloonText">
    <w:name w:val="Balloon Text"/>
    <w:basedOn w:val="Normal"/>
    <w:link w:val="BalloonTextChar"/>
    <w:uiPriority w:val="99"/>
    <w:semiHidden/>
    <w:unhideWhenUsed/>
    <w:rsid w:val="009062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2FE"/>
    <w:rPr>
      <w:rFonts w:ascii="Segoe UI" w:hAnsi="Segoe UI" w:cs="Segoe UI"/>
      <w:sz w:val="18"/>
      <w:szCs w:val="18"/>
    </w:rPr>
  </w:style>
  <w:style w:type="paragraph" w:styleId="FootnoteText">
    <w:name w:val="footnote text"/>
    <w:basedOn w:val="Normal"/>
    <w:link w:val="FootnoteTextChar"/>
    <w:uiPriority w:val="99"/>
    <w:semiHidden/>
    <w:unhideWhenUsed/>
    <w:rsid w:val="009062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2FE"/>
    <w:rPr>
      <w:sz w:val="20"/>
      <w:szCs w:val="20"/>
    </w:rPr>
  </w:style>
  <w:style w:type="character" w:styleId="FootnoteReference">
    <w:name w:val="footnote reference"/>
    <w:basedOn w:val="DefaultParagraphFont"/>
    <w:uiPriority w:val="99"/>
    <w:semiHidden/>
    <w:unhideWhenUsed/>
    <w:rsid w:val="009062FE"/>
    <w:rPr>
      <w:vertAlign w:val="superscript"/>
    </w:rPr>
  </w:style>
  <w:style w:type="paragraph" w:styleId="ListParagraph">
    <w:name w:val="List Paragraph"/>
    <w:basedOn w:val="Normal"/>
    <w:uiPriority w:val="34"/>
    <w:qFormat/>
    <w:rsid w:val="00C01655"/>
    <w:pPr>
      <w:ind w:left="720"/>
      <w:contextualSpacing/>
    </w:pPr>
  </w:style>
  <w:style w:type="paragraph" w:styleId="Revision">
    <w:name w:val="Revision"/>
    <w:hidden/>
    <w:uiPriority w:val="99"/>
    <w:semiHidden/>
    <w:rsid w:val="00CD3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2643">
      <w:bodyDiv w:val="1"/>
      <w:marLeft w:val="0"/>
      <w:marRight w:val="0"/>
      <w:marTop w:val="0"/>
      <w:marBottom w:val="0"/>
      <w:divBdr>
        <w:top w:val="none" w:sz="0" w:space="0" w:color="auto"/>
        <w:left w:val="none" w:sz="0" w:space="0" w:color="auto"/>
        <w:bottom w:val="none" w:sz="0" w:space="0" w:color="auto"/>
        <w:right w:val="none" w:sz="0" w:space="0" w:color="auto"/>
      </w:divBdr>
    </w:div>
    <w:div w:id="222182143">
      <w:bodyDiv w:val="1"/>
      <w:marLeft w:val="0"/>
      <w:marRight w:val="0"/>
      <w:marTop w:val="0"/>
      <w:marBottom w:val="0"/>
      <w:divBdr>
        <w:top w:val="none" w:sz="0" w:space="0" w:color="auto"/>
        <w:left w:val="none" w:sz="0" w:space="0" w:color="auto"/>
        <w:bottom w:val="none" w:sz="0" w:space="0" w:color="auto"/>
        <w:right w:val="none" w:sz="0" w:space="0" w:color="auto"/>
      </w:divBdr>
    </w:div>
    <w:div w:id="317929700">
      <w:bodyDiv w:val="1"/>
      <w:marLeft w:val="0"/>
      <w:marRight w:val="0"/>
      <w:marTop w:val="0"/>
      <w:marBottom w:val="0"/>
      <w:divBdr>
        <w:top w:val="none" w:sz="0" w:space="0" w:color="auto"/>
        <w:left w:val="none" w:sz="0" w:space="0" w:color="auto"/>
        <w:bottom w:val="none" w:sz="0" w:space="0" w:color="auto"/>
        <w:right w:val="none" w:sz="0" w:space="0" w:color="auto"/>
      </w:divBdr>
    </w:div>
    <w:div w:id="466244879">
      <w:bodyDiv w:val="1"/>
      <w:marLeft w:val="0"/>
      <w:marRight w:val="0"/>
      <w:marTop w:val="0"/>
      <w:marBottom w:val="0"/>
      <w:divBdr>
        <w:top w:val="none" w:sz="0" w:space="0" w:color="auto"/>
        <w:left w:val="none" w:sz="0" w:space="0" w:color="auto"/>
        <w:bottom w:val="none" w:sz="0" w:space="0" w:color="auto"/>
        <w:right w:val="none" w:sz="0" w:space="0" w:color="auto"/>
      </w:divBdr>
    </w:div>
    <w:div w:id="608390173">
      <w:bodyDiv w:val="1"/>
      <w:marLeft w:val="0"/>
      <w:marRight w:val="0"/>
      <w:marTop w:val="0"/>
      <w:marBottom w:val="0"/>
      <w:divBdr>
        <w:top w:val="none" w:sz="0" w:space="0" w:color="auto"/>
        <w:left w:val="none" w:sz="0" w:space="0" w:color="auto"/>
        <w:bottom w:val="none" w:sz="0" w:space="0" w:color="auto"/>
        <w:right w:val="none" w:sz="0" w:space="0" w:color="auto"/>
      </w:divBdr>
    </w:div>
    <w:div w:id="714814880">
      <w:bodyDiv w:val="1"/>
      <w:marLeft w:val="0"/>
      <w:marRight w:val="0"/>
      <w:marTop w:val="0"/>
      <w:marBottom w:val="0"/>
      <w:divBdr>
        <w:top w:val="none" w:sz="0" w:space="0" w:color="auto"/>
        <w:left w:val="none" w:sz="0" w:space="0" w:color="auto"/>
        <w:bottom w:val="none" w:sz="0" w:space="0" w:color="auto"/>
        <w:right w:val="none" w:sz="0" w:space="0" w:color="auto"/>
      </w:divBdr>
    </w:div>
    <w:div w:id="880360179">
      <w:bodyDiv w:val="1"/>
      <w:marLeft w:val="0"/>
      <w:marRight w:val="0"/>
      <w:marTop w:val="0"/>
      <w:marBottom w:val="0"/>
      <w:divBdr>
        <w:top w:val="none" w:sz="0" w:space="0" w:color="auto"/>
        <w:left w:val="none" w:sz="0" w:space="0" w:color="auto"/>
        <w:bottom w:val="none" w:sz="0" w:space="0" w:color="auto"/>
        <w:right w:val="none" w:sz="0" w:space="0" w:color="auto"/>
      </w:divBdr>
    </w:div>
    <w:div w:id="893540745">
      <w:bodyDiv w:val="1"/>
      <w:marLeft w:val="0"/>
      <w:marRight w:val="0"/>
      <w:marTop w:val="0"/>
      <w:marBottom w:val="0"/>
      <w:divBdr>
        <w:top w:val="none" w:sz="0" w:space="0" w:color="auto"/>
        <w:left w:val="none" w:sz="0" w:space="0" w:color="auto"/>
        <w:bottom w:val="none" w:sz="0" w:space="0" w:color="auto"/>
        <w:right w:val="none" w:sz="0" w:space="0" w:color="auto"/>
      </w:divBdr>
    </w:div>
    <w:div w:id="1156652856">
      <w:bodyDiv w:val="1"/>
      <w:marLeft w:val="0"/>
      <w:marRight w:val="0"/>
      <w:marTop w:val="0"/>
      <w:marBottom w:val="0"/>
      <w:divBdr>
        <w:top w:val="none" w:sz="0" w:space="0" w:color="auto"/>
        <w:left w:val="none" w:sz="0" w:space="0" w:color="auto"/>
        <w:bottom w:val="none" w:sz="0" w:space="0" w:color="auto"/>
        <w:right w:val="none" w:sz="0" w:space="0" w:color="auto"/>
      </w:divBdr>
    </w:div>
    <w:div w:id="1404834265">
      <w:bodyDiv w:val="1"/>
      <w:marLeft w:val="0"/>
      <w:marRight w:val="0"/>
      <w:marTop w:val="0"/>
      <w:marBottom w:val="0"/>
      <w:divBdr>
        <w:top w:val="none" w:sz="0" w:space="0" w:color="auto"/>
        <w:left w:val="none" w:sz="0" w:space="0" w:color="auto"/>
        <w:bottom w:val="none" w:sz="0" w:space="0" w:color="auto"/>
        <w:right w:val="none" w:sz="0" w:space="0" w:color="auto"/>
      </w:divBdr>
    </w:div>
    <w:div w:id="1561358749">
      <w:bodyDiv w:val="1"/>
      <w:marLeft w:val="0"/>
      <w:marRight w:val="0"/>
      <w:marTop w:val="0"/>
      <w:marBottom w:val="0"/>
      <w:divBdr>
        <w:top w:val="none" w:sz="0" w:space="0" w:color="auto"/>
        <w:left w:val="none" w:sz="0" w:space="0" w:color="auto"/>
        <w:bottom w:val="none" w:sz="0" w:space="0" w:color="auto"/>
        <w:right w:val="none" w:sz="0" w:space="0" w:color="auto"/>
      </w:divBdr>
    </w:div>
    <w:div w:id="1586761610">
      <w:bodyDiv w:val="1"/>
      <w:marLeft w:val="0"/>
      <w:marRight w:val="0"/>
      <w:marTop w:val="0"/>
      <w:marBottom w:val="0"/>
      <w:divBdr>
        <w:top w:val="none" w:sz="0" w:space="0" w:color="auto"/>
        <w:left w:val="none" w:sz="0" w:space="0" w:color="auto"/>
        <w:bottom w:val="none" w:sz="0" w:space="0" w:color="auto"/>
        <w:right w:val="none" w:sz="0" w:space="0" w:color="auto"/>
      </w:divBdr>
    </w:div>
    <w:div w:id="1864783638">
      <w:bodyDiv w:val="1"/>
      <w:marLeft w:val="0"/>
      <w:marRight w:val="0"/>
      <w:marTop w:val="0"/>
      <w:marBottom w:val="0"/>
      <w:divBdr>
        <w:top w:val="none" w:sz="0" w:space="0" w:color="auto"/>
        <w:left w:val="none" w:sz="0" w:space="0" w:color="auto"/>
        <w:bottom w:val="none" w:sz="0" w:space="0" w:color="auto"/>
        <w:right w:val="none" w:sz="0" w:space="0" w:color="auto"/>
      </w:divBdr>
    </w:div>
    <w:div w:id="214230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N/legal-content/summary/bern-convention.html"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EN/TXT/PDF/?uri=CELEX:01992L0043-201307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rcabc.europa.eu/ui/group/3f466d71-92a7-49eb-9c63-6cb0fadf29dc/library/2e8373b8-5606-4d3f-92ca-7d2f20bc3c4a/detai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uropa.eu/en/publication-detail/-/publication/5d017e4e-9efc-11ee-b164-01aa75ed71a1/language-en"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politico.eu/article/von-der-leyen-campaigning-hard-against-the-wol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lex.europa.eu/legal-content/EN/TXT/?uri=celex%3A31992L0043"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reportnet.europa.eu/public/dataflow/152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896E-CF94-4E1D-8460-DC041B44D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3002</Words>
  <Characters>16216</Characters>
  <Application>Microsoft Office Word</Application>
  <DocSecurity>0</DocSecurity>
  <Lines>135</Lines>
  <Paragraphs>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Ιάσων Μπάντιος</cp:lastModifiedBy>
  <cp:revision>8</cp:revision>
  <dcterms:created xsi:type="dcterms:W3CDTF">2025-12-08T13:28:00Z</dcterms:created>
  <dcterms:modified xsi:type="dcterms:W3CDTF">2025-12-18T07:24:00Z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e9e2b61c-3dd6-4e69-9d16-8bb2ae57c228</vt:lpwstr>
  </property>
</Properties>
</file>